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880" w:after="480"/>
        <w:jc w:val="center"/>
      </w:pPr>
      <w:r>
        <w:rPr>
          <w:b/>
          <w:bCs/>
          <w:color w:val="1F4E78"/>
          <w:sz w:val="48"/>
          <w:szCs w:val="48"/>
        </w:rPr>
        <w:t xml:space="preserve">ESSILORLUXOTTICA</w:t>
      </w:r>
    </w:p>
    <w:p>
      <w:pPr>
        <w:spacing w:after="240"/>
        <w:jc w:val="center"/>
      </w:pPr>
      <w:r>
        <w:rPr>
          <w:color w:val="44546A"/>
          <w:sz w:val="32"/>
          <w:szCs w:val="32"/>
        </w:rPr>
        <w:t xml:space="preserve">Investment Research Report</w:t>
      </w:r>
    </w:p>
    <w:p>
      <w:pPr>
        <w:spacing w:after="1440"/>
        <w:jc w:val="center"/>
      </w:pPr>
      <w:r>
        <w:rPr>
          <w:i/>
          <w:iCs/>
          <w:sz w:val="24"/>
          <w:szCs w:val="24"/>
        </w:rPr>
        <w:t xml:space="preserve">Comprehensive Analysis of the Global Eyewear Leader</w:t>
      </w:r>
    </w:p>
    <w:p>
      <w:pPr>
        <w:spacing w:after="240"/>
        <w:jc w:val="center"/>
      </w:pPr>
      <w:r>
        <w:rPr>
          <w:sz w:val="22"/>
          <w:szCs w:val="22"/>
        </w:rPr>
        <w:t xml:space="preserve">Analysis Date: December 24, 2025</w:t>
      </w:r>
    </w:p>
    <w:p>
      <w:pPr>
        <w:spacing w:after="2880"/>
        <w:jc w:val="center"/>
      </w:pPr>
      <w:r>
        <w:rPr>
          <w:sz w:val="22"/>
          <w:szCs w:val="22"/>
        </w:rPr>
        <w:t xml:space="preserve">Report Date: January 16, 2026</w:t>
      </w:r>
    </w:p>
    <w:p>
      <w:pPr>
        <w:pStyle w:val="Heading1"/>
        <w:pageBreakBefore/>
      </w:pPr>
      <w:r>
        <w:t xml:space="preserve">EXECUTIVE SUMMARY</w:t>
      </w:r>
    </w:p>
    <w:p>
      <w:pPr>
        <w:spacing w:after="240"/>
      </w:pPr>
      <w:r>
        <w:t xml:space="preserve">EssilorLuxottica (EL) is the global leader in the design, manufacturing, and distribution of vision care products and advanced eyewear solutions. The company operates through a vertically integrated business model spanning the entire value chain from R&amp;D and manufacturing to retail distribution and e-commerce. This comprehensive analysis evaluates the company's business fundamentals, financial health, growth prospects, competitive positioning, and investment merits.</w:t>
      </w:r>
    </w:p>
    <w:p>
      <w:pPr>
        <w:spacing w:before="240" w:after="120"/>
      </w:pPr>
      <w:r>
        <w:rPr>
          <w:b/>
          <w:bCs/>
        </w:rPr>
        <w:t xml:space="preserve">Key Highlights:</w:t>
      </w:r>
    </w:p>
    <w:p>
      <w:r>
        <w:t xml:space="preserve">• Market Position: Industry leader with approximately 25% global market share</w:t>
      </w:r>
    </w:p>
    <w:p>
      <w:r>
        <w:t xml:space="preserve">• 2024 Revenue: €26.51 billion (+4% YoY)</w:t>
      </w:r>
    </w:p>
    <w:p>
      <w:r>
        <w:t xml:space="preserve">• Free Cash Flow (2024): €3.69 billion</w:t>
      </w:r>
    </w:p>
    <w:p>
      <w:r>
        <w:t xml:space="preserve">• Current Valuation: P/E ratio of 52.5 (as of January 16, 2026)</w:t>
      </w:r>
    </w:p>
    <w:p>
      <w:r>
        <w:t xml:space="preserve">• Strategic Initiatives: Ray-Ban Meta smart glasses partnership showing strong momentum</w:t>
      </w:r>
    </w:p>
    <w:p>
      <w:r>
        <w:t xml:space="preserve">• Recommendation: Currently overvalued; monitor for entry opportunities below €205</w:t>
      </w:r>
    </w:p>
    <w:p>
      <w:pPr>
        <w:pStyle w:val="Heading1"/>
        <w:pageBreakBefore/>
      </w:pPr>
      <w:r>
        <w:t xml:space="preserve">BUSINESS OVERVIEW &amp; MODEL</w:t>
      </w:r>
    </w:p>
    <w:p>
      <w:pPr>
        <w:pStyle w:val="Heading2"/>
        <w:spacing w:before="360"/>
      </w:pPr>
      <w:r>
        <w:t xml:space="preserve">Business Model Structure</w:t>
      </w:r>
    </w:p>
    <w:p>
      <w:pPr>
        <w:spacing w:after="240"/>
      </w:pPr>
      <w:r>
        <w:t xml:space="preserve">EssilorLuxottica operates through a highly integrated business model that captures value across the entire vision care ecosystem. The company's vertically integrated approach provides significant competitive advantages through economies of scale, operational efficiency, and control over the customer experience.</w:t>
      </w:r>
    </w:p>
    <w:p>
      <w:pPr>
        <w:pStyle w:val="Heading3"/>
        <w:spacing w:before="240"/>
      </w:pPr>
      <w:r>
        <w:t xml:space="preserve">Revenue Streams</w:t>
      </w:r>
    </w:p>
    <w:p>
      <w:pPr>
        <w:spacing w:before="120" w:after="120"/>
      </w:pPr>
      <w:r>
        <w:rPr>
          <w:b/>
          <w:bCs/>
        </w:rPr>
        <w:t xml:space="preserve">Professional Solutions (PS) Division</w:t>
      </w:r>
    </w:p>
    <w:p>
      <w:r>
        <w:t xml:space="preserve">The PS division serves opticians, optometrists, eye clinics, and optical retailers with:</w:t>
      </w:r>
    </w:p>
    <w:p>
      <w:r>
        <w:t xml:space="preserve">• Prescription lenses with advanced technologies and coatings</w:t>
      </w:r>
    </w:p>
    <w:p>
      <w:r>
        <w:t xml:space="preserve">• Frames and branded eyewear (proprietary and licensed brands)</w:t>
      </w:r>
    </w:p>
    <w:p>
      <w:r>
        <w:t xml:space="preserve">• Optical instruments and laboratory equipment</w:t>
      </w:r>
    </w:p>
    <w:p>
      <w:r>
        <w:t xml:space="preserve">• Smart lens technologies (Varilux, Crizal, Stellest)</w:t>
      </w:r>
    </w:p>
    <w:p>
      <w:pPr>
        <w:spacing w:before="240" w:after="120"/>
      </w:pPr>
      <w:r>
        <w:rPr>
          <w:b/>
          <w:bCs/>
        </w:rPr>
        <w:t xml:space="preserve">Direct-to-Consumer (DTC) Division</w:t>
      </w:r>
    </w:p>
    <w:p>
      <w:r>
        <w:t xml:space="preserve">The DTC division operates through company-owned retail stores and e-commerce platforms:</w:t>
      </w:r>
    </w:p>
    <w:p>
      <w:r>
        <w:t xml:space="preserve">• Iconic owned brands (Ray-Ban, Oakley, Persol, Vogue Eyewear)</w:t>
      </w:r>
    </w:p>
    <w:p>
      <w:r>
        <w:t xml:space="preserve">• Licensed luxury brands (Prada, Chanel, Versace)</w:t>
      </w:r>
    </w:p>
    <w:p>
      <w:r>
        <w:t xml:space="preserve">• Prescription eyewear with customized lenses</w:t>
      </w:r>
    </w:p>
    <w:p>
      <w:r>
        <w:t xml:space="preserve">• Smart glasses and wearable technology (Ray-Ban Meta, Nuance audio glasses)</w:t>
      </w:r>
    </w:p>
    <w:p>
      <w:pPr>
        <w:pStyle w:val="Heading2"/>
        <w:spacing w:before="480"/>
      </w:pPr>
      <w:r>
        <w:t xml:space="preserve">Future-Proof Business Model</w:t>
      </w:r>
    </w:p>
    <w:p>
      <w:pPr>
        <w:spacing w:after="240"/>
      </w:pPr>
      <w:r>
        <w:t xml:space="preserve">The company's business model demonstrates strong resilience and long-term sustainability driven by several structural advantages:</w:t>
      </w:r>
    </w:p>
    <w:p>
      <w:pPr>
        <w:spacing w:after="120"/>
      </w:pPr>
      <w:r>
        <w:rPr>
          <w:b/>
          <w:bCs/>
        </w:rPr>
        <w:t xml:space="preserve">Structural Demand Drivers</w:t>
      </w:r>
    </w:p>
    <w:p>
      <w:r>
        <w:t xml:space="preserve">Vision care is a medical necessity rather than a discretionary purchase, creating non-cyclical demand. Key demographic and behavioral trends support long-term growth:</w:t>
      </w:r>
    </w:p>
    <w:p>
      <w:r>
        <w:t xml:space="preserve">• Global aging population increasing prevalence of presbyopia (age-related vision loss)</w:t>
      </w:r>
    </w:p>
    <w:p>
      <w:r>
        <w:t xml:space="preserve">• Rising myopia rates among younger demographics due to increased screen time</w:t>
      </w:r>
    </w:p>
    <w:p>
      <w:r>
        <w:t xml:space="preserve">• Growing awareness of eye health and preventive care</w:t>
      </w:r>
    </w:p>
    <w:p>
      <w:pPr>
        <w:spacing w:before="240" w:after="120"/>
      </w:pPr>
      <w:r>
        <w:rPr>
          <w:b/>
          <w:bCs/>
        </w:rPr>
        <w:t xml:space="preserve">Competitive Advantages</w:t>
      </w:r>
    </w:p>
    <w:p>
      <w:r>
        <w:rPr>
          <w:b/>
          <w:bCs/>
        </w:rPr>
        <w:t xml:space="preserve">Vertical Integration: </w:t>
      </w:r>
      <w:r>
        <w:t xml:space="preserve">Complete control over R&amp;D, manufacturing, distribution, and retail channels enables cost advantages, faster innovation cycles, and superior pricing power. Competitors must displace the entire integrated stack rather than a single layer.</w:t>
      </w:r>
    </w:p>
    <w:p>
      <w:r>
        <w:rPr>
          <w:b/>
          <w:bCs/>
        </w:rPr>
        <w:t xml:space="preserve">Dual Revenue Engine: </w:t>
      </w:r>
      <w:r>
        <w:t xml:space="preserve">The combination of Professional Solutions and Direct-to-Consumer channels creates resilience against fashion cycles and reduces dependence on wholesale partners.</w:t>
      </w:r>
    </w:p>
    <w:p>
      <w:r>
        <w:rPr>
          <w:b/>
          <w:bCs/>
        </w:rPr>
        <w:t xml:space="preserve">Brand &amp; IP Portfolio: </w:t>
      </w:r>
      <w:r>
        <w:t xml:space="preserve">Ownership of iconic brands (Ray-Ban, Oakley) combined with proprietary lens technologies (Varilux, Crizal, Stellest) and thousands of optical patents protects pricing power and slows commoditization.</w:t>
      </w:r>
    </w:p>
    <w:p>
      <w:r>
        <w:rPr>
          <w:b/>
          <w:bCs/>
        </w:rPr>
        <w:t xml:space="preserve">Smart Eyewear Positioning: </w:t>
      </w:r>
      <w:r>
        <w:t xml:space="preserve">Early-mover advantage in smart glasses (Ray-Ban Meta partnership) provides asymmetric upside potential without creating existential dependency.</w:t>
      </w:r>
    </w:p>
    <w:p>
      <w:pPr>
        <w:pStyle w:val="Heading1"/>
        <w:pageBreakBefore/>
      </w:pPr>
      <w:r>
        <w:t xml:space="preserve">FINANCIAL ANALYSIS</w:t>
      </w:r>
    </w:p>
    <w:p>
      <w:pPr>
        <w:pStyle w:val="Heading2"/>
      </w:pPr>
      <w:r>
        <w:t xml:space="preserve">Cash Flow Performance</w:t>
      </w:r>
    </w:p>
    <w:p>
      <w:r>
        <w:t xml:space="preserve">EssilorLuxottica demonstrates strong and consistent free cash flow generation:</w:t>
      </w:r>
    </w:p>
    <w:p>
      <w:r>
        <w:t xml:space="preserve">• TTM Free Cash Flow: €3.70 billion</w:t>
      </w:r>
    </w:p>
    <w:p>
      <w:r>
        <w:t xml:space="preserve">• FY 2024 Free Cash Flow: €3.69 billion</w:t>
      </w:r>
    </w:p>
    <w:p>
      <w:r>
        <w:t xml:space="preserve">• Average Annual FCF Growth (2018-2024): 14%</w:t>
      </w:r>
    </w:p>
    <w:p>
      <w:r>
        <w:t xml:space="preserve">The company's ability to convert earnings into cash provides significant financial flexibility for strategic investments, shareholder returns, and debt reduction.</w:t>
      </w:r>
    </w:p>
    <w:p>
      <w:pPr>
        <w:pStyle w:val="Heading2"/>
        <w:spacing w:before="360"/>
      </w:pPr>
      <w:r>
        <w:t xml:space="preserve">Profitability Metrics</w:t>
      </w:r>
    </w:p>
    <w:p>
      <w:r>
        <w:t xml:space="preserve">• TTM Net Income: €2.38 billion</w:t>
      </w:r>
    </w:p>
    <w:p>
      <w:r>
        <w:t xml:space="preserve">• FY 2024 Net Income: €2.36 billion</w:t>
      </w:r>
    </w:p>
    <w:p>
      <w:r>
        <w:t xml:space="preserve">• Net Profit Margin: 8.9%</w:t>
      </w:r>
    </w:p>
    <w:p>
      <w:r>
        <w:t xml:space="preserve">While net income growth has moderated to low single digits (3% in 2024, 7% in 2023), this reflects the mature nature of the traditional eyewear business. Higher growth is expected from emerging segments including smart eyewear and advanced medical diagnostics.</w:t>
      </w:r>
    </w:p>
    <w:p>
      <w:pPr>
        <w:pStyle w:val="Heading2"/>
        <w:spacing w:before="360"/>
      </w:pPr>
      <w:r>
        <w:t xml:space="preserve">Balance Sheet Health</w:t>
      </w:r>
    </w:p>
    <w:p>
      <w:r>
        <w:t xml:space="preserve">EssilorLuxottica maintains a robust financial position with conservative leverage: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F4E78" w:val="clear"/>
            <w:tcMar>
              <w:top w:type="dxa" w:w="120"/>
              <w:left w:type="dxa" w:w="120"/>
              <w:bottom w:type="dxa" w:w="120"/>
              <w:right w:type="dxa" w:w="120"/>
            </w:tcMar>
          </w:tcPr>
          <w:p>
            <w:r>
              <w:rPr>
                <w:b/>
                <w:bCs/>
                <w:color w:val="FFFFFF"/>
              </w:rPr>
              <w:t xml:space="preserve">Metric</w:t>
            </w:r>
          </w:p>
        </w:tc>
        <w:tc>
          <w:tcPr>
            <w:tcW w:type="dxa" w:w="4680"/>
            <w:tcBorders>
              <w:top w:val="single" w:color="CCCCCC" w:sz="1"/>
              <w:left w:val="single" w:color="CCCCCC" w:sz="1"/>
              <w:bottom w:val="single" w:color="CCCCCC" w:sz="1"/>
              <w:right w:val="single" w:color="CCCCCC" w:sz="1"/>
            </w:tcBorders>
            <w:shd w:fill="1F4E78" w:val="clear"/>
            <w:tcMar>
              <w:top w:type="dxa" w:w="120"/>
              <w:left w:type="dxa" w:w="120"/>
              <w:bottom w:type="dxa" w:w="120"/>
              <w:right w:type="dxa" w:w="120"/>
            </w:tcMar>
          </w:tcPr>
          <w:p>
            <w:r>
              <w:rPr>
                <w:b/>
                <w:bCs/>
                <w:color w:val="FFFFFF"/>
              </w:rPr>
              <w:t xml:space="preserve">2024 Value</w:t>
            </w:r>
          </w:p>
        </w:tc>
      </w:tr>
      <w:tr>
        <w:tc>
          <w:tcPr>
            <w:tcW w:type="dxa" w:w="4680"/>
            <w:tcBorders>
              <w:top w:val="single" w:color="CCCCCC" w:sz="1"/>
              <w:left w:val="single" w:color="CCCCCC" w:sz="1"/>
              <w:bottom w:val="single" w:color="CCCCCC" w:sz="1"/>
              <w:right w:val="single" w:color="CCCCCC" w:sz="1"/>
            </w:tcBorders>
            <w:tcMar>
              <w:top w:type="dxa" w:w="120"/>
              <w:left w:type="dxa" w:w="120"/>
              <w:bottom w:type="dxa" w:w="120"/>
              <w:right w:type="dxa" w:w="120"/>
            </w:tcMar>
          </w:tcPr>
          <w:p>
            <w:r>
              <w:t xml:space="preserve">Current Ratio</w:t>
            </w:r>
          </w:p>
        </w:tc>
        <w:tc>
          <w:tcPr>
            <w:tcW w:type="dxa" w:w="4680"/>
            <w:tcBorders>
              <w:top w:val="single" w:color="CCCCCC" w:sz="1"/>
              <w:left w:val="single" w:color="CCCCCC" w:sz="1"/>
              <w:bottom w:val="single" w:color="CCCCCC" w:sz="1"/>
              <w:right w:val="single" w:color="CCCCCC" w:sz="1"/>
            </w:tcBorders>
            <w:tcMar>
              <w:top w:type="dxa" w:w="120"/>
              <w:left w:type="dxa" w:w="120"/>
              <w:bottom w:type="dxa" w:w="120"/>
              <w:right w:type="dxa" w:w="120"/>
            </w:tcMar>
          </w:tcPr>
          <w:p>
            <w:r>
              <w:t xml:space="preserve">0.95</w:t>
            </w:r>
          </w:p>
        </w:tc>
      </w:tr>
      <w:tr>
        <w:tc>
          <w:tcPr>
            <w:tcW w:type="dxa" w:w="4680"/>
            <w:tcBorders>
              <w:top w:val="single" w:color="CCCCCC" w:sz="1"/>
              <w:left w:val="single" w:color="CCCCCC" w:sz="1"/>
              <w:bottom w:val="single" w:color="CCCCCC" w:sz="1"/>
              <w:right w:val="single" w:color="CCCCCC" w:sz="1"/>
            </w:tcBorders>
            <w:shd w:fill="F2F2F2" w:val="clear"/>
            <w:tcMar>
              <w:top w:type="dxa" w:w="120"/>
              <w:left w:type="dxa" w:w="120"/>
              <w:bottom w:type="dxa" w:w="120"/>
              <w:right w:type="dxa" w:w="120"/>
            </w:tcMar>
          </w:tcPr>
          <w:p>
            <w:r>
              <w:t xml:space="preserve">Quick Ratio</w:t>
            </w:r>
          </w:p>
        </w:tc>
        <w:tc>
          <w:tcPr>
            <w:tcW w:type="dxa" w:w="4680"/>
            <w:tcBorders>
              <w:top w:val="single" w:color="CCCCCC" w:sz="1"/>
              <w:left w:val="single" w:color="CCCCCC" w:sz="1"/>
              <w:bottom w:val="single" w:color="CCCCCC" w:sz="1"/>
              <w:right w:val="single" w:color="CCCCCC" w:sz="1"/>
            </w:tcBorders>
            <w:shd w:fill="F2F2F2" w:val="clear"/>
            <w:tcMar>
              <w:top w:type="dxa" w:w="120"/>
              <w:left w:type="dxa" w:w="120"/>
              <w:bottom w:type="dxa" w:w="120"/>
              <w:right w:type="dxa" w:w="120"/>
            </w:tcMar>
          </w:tcPr>
          <w:p>
            <w:r>
              <w:t xml:space="preserve">0.64</w:t>
            </w:r>
          </w:p>
        </w:tc>
      </w:tr>
      <w:tr>
        <w:tc>
          <w:tcPr>
            <w:tcW w:type="dxa" w:w="4680"/>
            <w:tcBorders>
              <w:top w:val="single" w:color="CCCCCC" w:sz="1"/>
              <w:left w:val="single" w:color="CCCCCC" w:sz="1"/>
              <w:bottom w:val="single" w:color="CCCCCC" w:sz="1"/>
              <w:right w:val="single" w:color="CCCCCC" w:sz="1"/>
            </w:tcBorders>
            <w:tcMar>
              <w:top w:type="dxa" w:w="120"/>
              <w:left w:type="dxa" w:w="120"/>
              <w:bottom w:type="dxa" w:w="120"/>
              <w:right w:type="dxa" w:w="120"/>
            </w:tcMar>
          </w:tcPr>
          <w:p>
            <w:r>
              <w:t xml:space="preserve">Solvency Ratio</w:t>
            </w:r>
          </w:p>
        </w:tc>
        <w:tc>
          <w:tcPr>
            <w:tcW w:type="dxa" w:w="4680"/>
            <w:tcBorders>
              <w:top w:val="single" w:color="CCCCCC" w:sz="1"/>
              <w:left w:val="single" w:color="CCCCCC" w:sz="1"/>
              <w:bottom w:val="single" w:color="CCCCCC" w:sz="1"/>
              <w:right w:val="single" w:color="CCCCCC" w:sz="1"/>
            </w:tcBorders>
            <w:tcMar>
              <w:top w:type="dxa" w:w="120"/>
              <w:left w:type="dxa" w:w="120"/>
              <w:bottom w:type="dxa" w:w="120"/>
              <w:right w:type="dxa" w:w="120"/>
            </w:tcMar>
          </w:tcPr>
          <w:p>
            <w:r>
              <w:t xml:space="preserve">64%</w:t>
            </w:r>
          </w:p>
        </w:tc>
      </w:tr>
      <w:tr>
        <w:tc>
          <w:tcPr>
            <w:tcW w:type="dxa" w:w="4680"/>
            <w:tcBorders>
              <w:top w:val="single" w:color="CCCCCC" w:sz="1"/>
              <w:left w:val="single" w:color="CCCCCC" w:sz="1"/>
              <w:bottom w:val="single" w:color="CCCCCC" w:sz="1"/>
              <w:right w:val="single" w:color="CCCCCC" w:sz="1"/>
            </w:tcBorders>
            <w:shd w:fill="F2F2F2" w:val="clear"/>
            <w:tcMar>
              <w:top w:type="dxa" w:w="120"/>
              <w:left w:type="dxa" w:w="120"/>
              <w:bottom w:type="dxa" w:w="120"/>
              <w:right w:type="dxa" w:w="120"/>
            </w:tcMar>
          </w:tcPr>
          <w:p>
            <w:r>
              <w:t xml:space="preserve">Debt-to-Equity Ratio</w:t>
            </w:r>
          </w:p>
        </w:tc>
        <w:tc>
          <w:tcPr>
            <w:tcW w:type="dxa" w:w="4680"/>
            <w:tcBorders>
              <w:top w:val="single" w:color="CCCCCC" w:sz="1"/>
              <w:left w:val="single" w:color="CCCCCC" w:sz="1"/>
              <w:bottom w:val="single" w:color="CCCCCC" w:sz="1"/>
              <w:right w:val="single" w:color="CCCCCC" w:sz="1"/>
            </w:tcBorders>
            <w:shd w:fill="F2F2F2" w:val="clear"/>
            <w:tcMar>
              <w:top w:type="dxa" w:w="120"/>
              <w:left w:type="dxa" w:w="120"/>
              <w:bottom w:type="dxa" w:w="120"/>
              <w:right w:type="dxa" w:w="120"/>
            </w:tcMar>
          </w:tcPr>
          <w:p>
            <w:r>
              <w:t xml:space="preserve">32% (0.57)</w:t>
            </w:r>
          </w:p>
        </w:tc>
      </w:tr>
      <w:tr>
        <w:tc>
          <w:tcPr>
            <w:tcW w:type="dxa" w:w="4680"/>
            <w:tcBorders>
              <w:top w:val="single" w:color="CCCCCC" w:sz="1"/>
              <w:left w:val="single" w:color="CCCCCC" w:sz="1"/>
              <w:bottom w:val="single" w:color="CCCCCC" w:sz="1"/>
              <w:right w:val="single" w:color="CCCCCC" w:sz="1"/>
            </w:tcBorders>
            <w:tcMar>
              <w:top w:type="dxa" w:w="120"/>
              <w:left w:type="dxa" w:w="120"/>
              <w:bottom w:type="dxa" w:w="120"/>
              <w:right w:type="dxa" w:w="120"/>
            </w:tcMar>
          </w:tcPr>
          <w:p>
            <w:r>
              <w:t xml:space="preserve">Interest Coverage Ratio</w:t>
            </w:r>
          </w:p>
        </w:tc>
        <w:tc>
          <w:tcPr>
            <w:tcW w:type="dxa" w:w="4680"/>
            <w:tcBorders>
              <w:top w:val="single" w:color="CCCCCC" w:sz="1"/>
              <w:left w:val="single" w:color="CCCCCC" w:sz="1"/>
              <w:bottom w:val="single" w:color="CCCCCC" w:sz="1"/>
              <w:right w:val="single" w:color="CCCCCC" w:sz="1"/>
            </w:tcBorders>
            <w:tcMar>
              <w:top w:type="dxa" w:w="120"/>
              <w:left w:type="dxa" w:w="120"/>
              <w:bottom w:type="dxa" w:w="120"/>
              <w:right w:type="dxa" w:w="120"/>
            </w:tcMar>
          </w:tcPr>
          <w:p>
            <w:r>
              <w:t xml:space="preserve">14x EBIT/Interest</w:t>
            </w:r>
          </w:p>
        </w:tc>
      </w:tr>
    </w:tbl>
    <w:p>
      <w:pPr>
        <w:spacing w:before="240"/>
      </w:pPr>
      <w:r>
        <w:t xml:space="preserve">The company demonstrates excellent long-term financial stability. With 64% of assets financed through equity and interest coverage of 14x, EssilorLuxottica faces minimal financial distress risk even in challenging economic environments. While short-term liquidity ratios appear modest, this is typical for large-scale retail operations with high inventory turnover and represents efficient working capital management rather than financial weakness.</w:t>
      </w:r>
    </w:p>
    <w:p>
      <w:pPr>
        <w:pStyle w:val="Heading1"/>
        <w:pageBreakBefore/>
      </w:pPr>
      <w:r>
        <w:t xml:space="preserve">GROWTH PROSPECTS &amp; MARKET POSITIONING</w:t>
      </w:r>
    </w:p>
    <w:p>
      <w:pPr>
        <w:pStyle w:val="Heading2"/>
      </w:pPr>
      <w:r>
        <w:t xml:space="preserve">Revenue Growth Analysis</w:t>
      </w:r>
    </w:p>
    <w:p>
      <w:r>
        <w:t xml:space="preserve">• TTM Revenue: €27.24 billion</w:t>
      </w:r>
    </w:p>
    <w:p>
      <w:r>
        <w:t xml:space="preserve">• FY 2024 Revenue: €26.51 billion</w:t>
      </w:r>
    </w:p>
    <w:p>
      <w:r>
        <w:t xml:space="preserve">• Recent Growth Rate: Consistent 4% annually (2023-2024)</w:t>
      </w:r>
    </w:p>
    <w:p>
      <w:r>
        <w:t xml:space="preserve">• H1 2025 Growth: 4.38% year-over-year</w:t>
      </w:r>
    </w:p>
    <w:p>
      <w:r>
        <w:t xml:space="preserve">Revenue growth remains steady but modest, reflecting the mature nature of the traditional eyewear market. Acceleration is expected from higher-growth segments including smart eyewear and medical technology.</w:t>
      </w:r>
    </w:p>
    <w:p>
      <w:pPr>
        <w:pStyle w:val="Heading2"/>
        <w:spacing w:before="360"/>
      </w:pPr>
      <w:r>
        <w:t xml:space="preserve">Megatrend Alignment</w:t>
      </w:r>
    </w:p>
    <w:p>
      <w:r>
        <w:t xml:space="preserve">EssilorLuxottica is strategically positioned to capitalize on three major global megatrends:</w:t>
      </w:r>
    </w:p>
    <w:p>
      <w:pPr>
        <w:pStyle w:val="Heading3"/>
        <w:spacing w:before="240"/>
      </w:pPr>
      <w:r>
        <w:t xml:space="preserve">1. Technological Disruption: Smart Wearables &amp; Med-Tech</w:t>
      </w:r>
    </w:p>
    <w:p>
      <w:r>
        <w:rPr>
          <w:b/>
          <w:bCs/>
        </w:rPr>
        <w:t xml:space="preserve">Ray-Ban Meta Partnership: </w:t>
      </w:r>
      <w:r>
        <w:t xml:space="preserve">The company is pioneering the integration of AI into everyday eyewear through its exclusive partnership with Meta. By embedding cameras and AI into iconic Ray-Ban frames, EssilorLuxottica has overcome previous aesthetic barriers. Sales tripled in early 2025, positioning the company to lead the next computing platform evolution.</w:t>
      </w:r>
    </w:p>
    <w:p>
      <w:r>
        <w:rPr>
          <w:b/>
          <w:bCs/>
        </w:rPr>
        <w:t xml:space="preserve">AI Diagnostics: </w:t>
      </w:r>
      <w:r>
        <w:t xml:space="preserve">Through the acquisition of Heidelberg Engineering, the company now provides high-end medical imaging and AI-powered diagnostics during routine eye exams, expanding into higher-margin medical technology.</w:t>
      </w:r>
    </w:p>
    <w:p>
      <w:pPr>
        <w:pStyle w:val="Heading3"/>
        <w:spacing w:before="240"/>
      </w:pPr>
      <w:r>
        <w:t xml:space="preserve">2. Demographic Shifts: The Global Myopia Epidemic</w:t>
      </w:r>
    </w:p>
    <w:p>
      <w:r>
        <w:rPr>
          <w:b/>
          <w:bCs/>
        </w:rPr>
        <w:t xml:space="preserve">Stellest Lenses: </w:t>
      </w:r>
      <w:r>
        <w:t xml:space="preserve">Proprietary lenses that slow vision deterioration in children are experiencing strong growth, particularly in key markets like China.</w:t>
      </w:r>
    </w:p>
    <w:p>
      <w:r>
        <w:rPr>
          <w:b/>
          <w:bCs/>
        </w:rPr>
        <w:t xml:space="preserve">Aging Demographics: </w:t>
      </w:r>
      <w:r>
        <w:t xml:space="preserve">With presbyopia (age-related vision loss) projected to affect 40% of the global population by 2050, EssilorLuxottica is establishing global standards for presbyopia care, ensuring sustained long-term demand.</w:t>
      </w:r>
    </w:p>
    <w:p>
      <w:pPr>
        <w:pStyle w:val="Heading3"/>
        <w:spacing w:before="240"/>
      </w:pPr>
      <w:r>
        <w:t xml:space="preserve">3. Climate Change: Operational Efficiency &amp; Brand Value</w:t>
      </w:r>
    </w:p>
    <w:p>
      <w:r>
        <w:t xml:space="preserve">The company's "Eyes on the Planet" sustainability program serves dual purposes:</w:t>
      </w:r>
    </w:p>
    <w:p>
      <w:r>
        <w:t xml:space="preserve">• Achieved carbon neutrality for European operations in 2023</w:t>
      </w:r>
    </w:p>
    <w:p>
      <w:r>
        <w:t xml:space="preserve">• Targeting global carbon neutrality by 2025</w:t>
      </w:r>
    </w:p>
    <w:p>
      <w:r>
        <w:t xml:space="preserve">• Installed over 100,000 solar panels globally, insulating manufacturing costs from energy price volatility</w:t>
      </w:r>
    </w:p>
    <w:p>
      <w:r>
        <w:t xml:space="preserve">• Enhanced brand appeal among environmentally conscious consumers</w:t>
      </w:r>
    </w:p>
    <w:p>
      <w:pPr>
        <w:pStyle w:val="Heading2"/>
        <w:spacing w:before="360"/>
      </w:pPr>
      <w:r>
        <w:t xml:space="preserve">Market Growth Opportunity</w:t>
      </w:r>
    </w:p>
    <w:p>
      <w:r>
        <w:rPr>
          <w:b/>
          <w:bCs/>
        </w:rPr>
        <w:t xml:space="preserve">Traditional Vision Care Market: </w:t>
      </w:r>
      <w:r>
        <w:t xml:space="preserve">Projected to reach $246.89 billion by 2033, growing at 6.75% CAGR (SNS Insider).</w:t>
      </w:r>
    </w:p>
    <w:p>
      <w:r>
        <w:rPr>
          <w:b/>
          <w:bCs/>
        </w:rPr>
        <w:t xml:space="preserve">Smart Glasses Market: </w:t>
      </w:r>
      <w:r>
        <w:t xml:space="preserve">Expected to reach $200 billion by 2040 with user base expanding from 15 million (2025) to 289 million by 2035, representing over 1,800% growth (HSBC analysis).</w:t>
      </w:r>
    </w:p>
    <w:p>
      <w:r>
        <w:t xml:space="preserve">While traditional eyewear grows at low-to-mid single digits, the company's Wearables and Med-Tech divisions are experiencing double-digit growth. The vertically integrated model allows EssilorLuxottica to capture the full profit margin of these disruptive technologies—an advantage that pure technology companies cannot replicate.</w:t>
      </w:r>
    </w:p>
    <w:p>
      <w:pPr>
        <w:pStyle w:val="Heading1"/>
        <w:pageBreakBefore/>
      </w:pPr>
      <w:r>
        <w:t xml:space="preserve">COMPETITIVE ANALYSIS</w:t>
      </w:r>
    </w:p>
    <w:p>
      <w:pPr>
        <w:pStyle w:val="Heading2"/>
      </w:pPr>
      <w:r>
        <w:t xml:space="preserve">Economic Moat Assessment</w:t>
      </w:r>
    </w:p>
    <w:p>
      <w:r>
        <w:t xml:space="preserve">EssilorLuxottica possesses a wide economic moat built on four strategic pillars:</w:t>
      </w:r>
    </w:p>
    <w:p>
      <w:r>
        <w:rPr>
          <w:b/>
          <w:bCs/>
        </w:rPr>
        <w:t xml:space="preserve">1. Vertical Integration: </w:t>
      </w:r>
      <w:r>
        <w:t xml:space="preserve">End-to-end control from R&amp;D through retail enables superior unit economics, faster innovation, and market responsiveness.</w:t>
      </w:r>
    </w:p>
    <w:p>
      <w:r>
        <w:rPr>
          <w:b/>
          <w:bCs/>
        </w:rPr>
        <w:t xml:space="preserve">2. Dual Distribution Engine: </w:t>
      </w:r>
      <w:r>
        <w:t xml:space="preserve">Operates as both a DTC retailer and PS supplier to independent opticians, ensuring product placement in virtually every optical retail environment globally.</w:t>
      </w:r>
    </w:p>
    <w:p>
      <w:r>
        <w:rPr>
          <w:b/>
          <w:bCs/>
        </w:rPr>
        <w:t xml:space="preserve">3. Technology Platform Leadership: </w:t>
      </w:r>
      <w:r>
        <w:t xml:space="preserve">Exclusive Meta partnership positions EssilorLuxottica as a gatekeeper for the emerging smart eyewear category, blending Silicon Valley AI with premium optical hardware.</w:t>
      </w:r>
    </w:p>
    <w:p>
      <w:r>
        <w:rPr>
          <w:b/>
          <w:bCs/>
        </w:rPr>
        <w:t xml:space="preserve">4. Unrivaled Brand Portfolio: </w:t>
      </w:r>
      <w:r>
        <w:t xml:space="preserve">Ownership of the world's most recognizable eyewear brands (Ray-Ban, Oakley) combined with long-term licensing agreements with elite luxury houses (Chanel, Prada, Armani) creates formidable barriers to entry.</w:t>
      </w:r>
    </w:p>
    <w:p>
      <w:pPr>
        <w:pStyle w:val="Heading2"/>
        <w:spacing w:before="360"/>
      </w:pPr>
      <w:r>
        <w:t xml:space="preserve">Pricing Power</w:t>
      </w:r>
    </w:p>
    <w:p>
      <w:r>
        <w:t xml:space="preserve">The company's market leadership position, vertical integration, and premium brand portfolio provide substantial pricing power. Price increases can be implemented with minimal volume impact due to limited substitutability and the medical necessity of vision care products.</w:t>
      </w:r>
    </w:p>
    <w:p>
      <w:pPr>
        <w:pStyle w:val="Heading2"/>
        <w:spacing w:before="360"/>
      </w:pPr>
      <w:r>
        <w:t xml:space="preserve">Competitive Benchmarking</w:t>
      </w:r>
    </w:p>
    <w:p>
      <w:pPr>
        <w:pStyle w:val="Heading3"/>
      </w:pPr>
      <w:r>
        <w:t xml:space="preserve">Eyewear &amp; DTC Retail Comparison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1755"/>
        <w:gridCol w:w="1755"/>
        <w:gridCol w:w="1755"/>
        <w:gridCol w:w="1755"/>
      </w:tblGrid>
      <w:tr>
        <w:tc>
          <w:tcPr>
            <w:tcW w:type="dxa" w:w="2340"/>
            <w:tcBorders>
              <w:top w:val="single" w:color="CCCCCC" w:sz="1"/>
              <w:left w:val="single" w:color="CCCCCC" w:sz="1"/>
              <w:bottom w:val="single" w:color="CCCCCC" w:sz="1"/>
              <w:right w:val="single" w:color="CCCCCC" w:sz="1"/>
            </w:tcBorders>
            <w:shd w:fill="1F4E78" w:val="clear"/>
            <w:tcMar>
              <w:top w:type="dxa" w:w="80"/>
              <w:left w:type="dxa" w:w="80"/>
              <w:bottom w:type="dxa" w:w="80"/>
              <w:right w:type="dxa" w:w="80"/>
            </w:tcMar>
          </w:tcPr>
          <w:p>
            <w:r>
              <w:rPr>
                <w:b/>
                <w:bCs/>
                <w:color w:val="FFFFFF"/>
                <w:sz w:val="20"/>
                <w:szCs w:val="20"/>
              </w:rPr>
              <w:t xml:space="preserve">Metric (2024)</w:t>
            </w:r>
          </w:p>
        </w:tc>
        <w:tc>
          <w:tcPr>
            <w:tcW w:type="dxa" w:w="1755"/>
            <w:tcBorders>
              <w:top w:val="single" w:color="CCCCCC" w:sz="1"/>
              <w:left w:val="single" w:color="CCCCCC" w:sz="1"/>
              <w:bottom w:val="single" w:color="CCCCCC" w:sz="1"/>
              <w:right w:val="single" w:color="CCCCCC" w:sz="1"/>
            </w:tcBorders>
            <w:shd w:fill="1F4E78" w:val="clear"/>
            <w:tcMar>
              <w:top w:type="dxa" w:w="80"/>
              <w:left w:type="dxa" w:w="80"/>
              <w:bottom w:type="dxa" w:w="80"/>
              <w:right w:type="dxa" w:w="80"/>
            </w:tcMar>
          </w:tcPr>
          <w:p>
            <w:r>
              <w:rPr>
                <w:b/>
                <w:bCs/>
                <w:color w:val="FFFFFF"/>
                <w:sz w:val="20"/>
                <w:szCs w:val="20"/>
              </w:rPr>
              <w:t xml:space="preserve">EL</w:t>
            </w:r>
          </w:p>
        </w:tc>
        <w:tc>
          <w:tcPr>
            <w:tcW w:type="dxa" w:w="1755"/>
            <w:tcBorders>
              <w:top w:val="single" w:color="CCCCCC" w:sz="1"/>
              <w:left w:val="single" w:color="CCCCCC" w:sz="1"/>
              <w:bottom w:val="single" w:color="CCCCCC" w:sz="1"/>
              <w:right w:val="single" w:color="CCCCCC" w:sz="1"/>
            </w:tcBorders>
            <w:shd w:fill="1F4E78" w:val="clear"/>
            <w:tcMar>
              <w:top w:type="dxa" w:w="80"/>
              <w:left w:type="dxa" w:w="80"/>
              <w:bottom w:type="dxa" w:w="80"/>
              <w:right w:type="dxa" w:w="80"/>
            </w:tcMar>
          </w:tcPr>
          <w:p>
            <w:r>
              <w:rPr>
                <w:b/>
                <w:bCs/>
                <w:color w:val="FFFFFF"/>
                <w:sz w:val="20"/>
                <w:szCs w:val="20"/>
              </w:rPr>
              <w:t xml:space="preserve">Safilo</w:t>
            </w:r>
          </w:p>
        </w:tc>
        <w:tc>
          <w:tcPr>
            <w:tcW w:type="dxa" w:w="1755"/>
            <w:tcBorders>
              <w:top w:val="single" w:color="CCCCCC" w:sz="1"/>
              <w:left w:val="single" w:color="CCCCCC" w:sz="1"/>
              <w:bottom w:val="single" w:color="CCCCCC" w:sz="1"/>
              <w:right w:val="single" w:color="CCCCCC" w:sz="1"/>
            </w:tcBorders>
            <w:shd w:fill="1F4E78" w:val="clear"/>
            <w:tcMar>
              <w:top w:type="dxa" w:w="80"/>
              <w:left w:type="dxa" w:w="80"/>
              <w:bottom w:type="dxa" w:w="80"/>
              <w:right w:type="dxa" w:w="80"/>
            </w:tcMar>
          </w:tcPr>
          <w:p>
            <w:r>
              <w:rPr>
                <w:b/>
                <w:bCs/>
                <w:color w:val="FFFFFF"/>
                <w:sz w:val="20"/>
                <w:szCs w:val="20"/>
              </w:rPr>
              <w:t xml:space="preserve">Marcolin</w:t>
            </w:r>
          </w:p>
        </w:tc>
        <w:tc>
          <w:tcPr>
            <w:tcW w:type="dxa" w:w="1755"/>
            <w:tcBorders>
              <w:top w:val="single" w:color="CCCCCC" w:sz="1"/>
              <w:left w:val="single" w:color="CCCCCC" w:sz="1"/>
              <w:bottom w:val="single" w:color="CCCCCC" w:sz="1"/>
              <w:right w:val="single" w:color="CCCCCC" w:sz="1"/>
            </w:tcBorders>
            <w:shd w:fill="1F4E78" w:val="clear"/>
            <w:tcMar>
              <w:top w:type="dxa" w:w="80"/>
              <w:left w:type="dxa" w:w="80"/>
              <w:bottom w:type="dxa" w:w="80"/>
              <w:right w:type="dxa" w:w="80"/>
            </w:tcMar>
          </w:tcPr>
          <w:p>
            <w:r>
              <w:rPr>
                <w:b/>
                <w:bCs/>
                <w:color w:val="FFFFFF"/>
                <w:sz w:val="20"/>
                <w:szCs w:val="20"/>
              </w:rPr>
              <w:t xml:space="preserve">Warby Parker</w:t>
            </w:r>
          </w:p>
        </w:tc>
      </w:tr>
      <w:tr>
        <w:tc>
          <w:tcPr>
            <w:tcW w:type="dxa" w:w="234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sz w:val="20"/>
                <w:szCs w:val="20"/>
              </w:rPr>
              <w:t xml:space="preserve">Revenue</w:t>
            </w:r>
          </w:p>
        </w:tc>
        <w:tc>
          <w:tcPr>
            <w:tcW w:type="dxa" w:w="1755"/>
            <w:tcBorders>
              <w:top w:val="single" w:color="CCCCCC" w:sz="1"/>
              <w:left w:val="single" w:color="CCCCCC" w:sz="1"/>
              <w:bottom w:val="single" w:color="CCCCCC" w:sz="1"/>
              <w:right w:val="single" w:color="CCCCCC" w:sz="1"/>
            </w:tcBorders>
            <w:tcMar>
              <w:top w:type="dxa" w:w="80"/>
              <w:left w:type="dxa" w:w="80"/>
              <w:bottom w:type="dxa" w:w="80"/>
              <w:right w:type="dxa" w:w="80"/>
            </w:tcMar>
          </w:tcPr>
          <w:p>
            <w:r>
              <w:rPr>
                <w:sz w:val="20"/>
                <w:szCs w:val="20"/>
              </w:rPr>
              <w:t xml:space="preserve">€26.5B</w:t>
            </w:r>
          </w:p>
        </w:tc>
        <w:tc>
          <w:tcPr>
            <w:tcW w:type="dxa" w:w="1755"/>
            <w:tcBorders>
              <w:top w:val="single" w:color="CCCCCC" w:sz="1"/>
              <w:left w:val="single" w:color="CCCCCC" w:sz="1"/>
              <w:bottom w:val="single" w:color="CCCCCC" w:sz="1"/>
              <w:right w:val="single" w:color="CCCCCC" w:sz="1"/>
            </w:tcBorders>
            <w:tcMar>
              <w:top w:type="dxa" w:w="80"/>
              <w:left w:type="dxa" w:w="80"/>
              <w:bottom w:type="dxa" w:w="80"/>
              <w:right w:type="dxa" w:w="80"/>
            </w:tcMar>
          </w:tcPr>
          <w:p>
            <w:r>
              <w:rPr>
                <w:sz w:val="20"/>
                <w:szCs w:val="20"/>
              </w:rPr>
              <w:t xml:space="preserve">€993M</w:t>
            </w:r>
          </w:p>
        </w:tc>
        <w:tc>
          <w:tcPr>
            <w:tcW w:type="dxa" w:w="1755"/>
            <w:tcBorders>
              <w:top w:val="single" w:color="CCCCCC" w:sz="1"/>
              <w:left w:val="single" w:color="CCCCCC" w:sz="1"/>
              <w:bottom w:val="single" w:color="CCCCCC" w:sz="1"/>
              <w:right w:val="single" w:color="CCCCCC" w:sz="1"/>
            </w:tcBorders>
            <w:tcMar>
              <w:top w:type="dxa" w:w="80"/>
              <w:left w:type="dxa" w:w="80"/>
              <w:bottom w:type="dxa" w:w="80"/>
              <w:right w:type="dxa" w:w="80"/>
            </w:tcMar>
          </w:tcPr>
          <w:p>
            <w:r>
              <w:rPr>
                <w:sz w:val="20"/>
                <w:szCs w:val="20"/>
              </w:rPr>
              <w:t xml:space="preserve">€546M</w:t>
            </w:r>
          </w:p>
        </w:tc>
        <w:tc>
          <w:tcPr>
            <w:tcW w:type="dxa" w:w="1755"/>
            <w:tcBorders>
              <w:top w:val="single" w:color="CCCCCC" w:sz="1"/>
              <w:left w:val="single" w:color="CCCCCC" w:sz="1"/>
              <w:bottom w:val="single" w:color="CCCCCC" w:sz="1"/>
              <w:right w:val="single" w:color="CCCCCC" w:sz="1"/>
            </w:tcBorders>
            <w:tcMar>
              <w:top w:type="dxa" w:w="80"/>
              <w:left w:type="dxa" w:w="80"/>
              <w:bottom w:type="dxa" w:w="80"/>
              <w:right w:type="dxa" w:w="80"/>
            </w:tcMar>
          </w:tcPr>
          <w:p>
            <w:r>
              <w:rPr>
                <w:sz w:val="20"/>
                <w:szCs w:val="20"/>
              </w:rPr>
              <w:t xml:space="preserve">€771M</w:t>
            </w:r>
          </w:p>
        </w:tc>
      </w:tr>
      <w:tr>
        <w:tc>
          <w:tcPr>
            <w:tcW w:type="dxa" w:w="2340"/>
            <w:tcBorders>
              <w:top w:val="single" w:color="CCCCCC" w:sz="1"/>
              <w:left w:val="single" w:color="CCCCCC" w:sz="1"/>
              <w:bottom w:val="single" w:color="CCCCCC" w:sz="1"/>
              <w:right w:val="single" w:color="CCCCCC" w:sz="1"/>
            </w:tcBorders>
            <w:shd w:fill="F2F2F2" w:val="clear"/>
            <w:tcMar>
              <w:top w:type="dxa" w:w="80"/>
              <w:left w:type="dxa" w:w="80"/>
              <w:bottom w:type="dxa" w:w="80"/>
              <w:right w:type="dxa" w:w="80"/>
            </w:tcMar>
          </w:tcPr>
          <w:p>
            <w:r>
              <w:rPr>
                <w:sz w:val="20"/>
                <w:szCs w:val="20"/>
              </w:rPr>
              <w:t xml:space="preserve">Net Profit Margin</w:t>
            </w:r>
          </w:p>
        </w:tc>
        <w:tc>
          <w:tcPr>
            <w:tcW w:type="dxa" w:w="1755"/>
            <w:tcBorders>
              <w:top w:val="single" w:color="CCCCCC" w:sz="1"/>
              <w:left w:val="single" w:color="CCCCCC" w:sz="1"/>
              <w:bottom w:val="single" w:color="CCCCCC" w:sz="1"/>
              <w:right w:val="single" w:color="CCCCCC" w:sz="1"/>
            </w:tcBorders>
            <w:shd w:fill="F2F2F2" w:val="clear"/>
            <w:tcMar>
              <w:top w:type="dxa" w:w="80"/>
              <w:left w:type="dxa" w:w="80"/>
              <w:bottom w:type="dxa" w:w="80"/>
              <w:right w:type="dxa" w:w="80"/>
            </w:tcMar>
          </w:tcPr>
          <w:p>
            <w:r>
              <w:rPr>
                <w:sz w:val="20"/>
                <w:szCs w:val="20"/>
              </w:rPr>
              <w:t xml:space="preserve">8.9%</w:t>
            </w:r>
          </w:p>
        </w:tc>
        <w:tc>
          <w:tcPr>
            <w:tcW w:type="dxa" w:w="1755"/>
            <w:tcBorders>
              <w:top w:val="single" w:color="CCCCCC" w:sz="1"/>
              <w:left w:val="single" w:color="CCCCCC" w:sz="1"/>
              <w:bottom w:val="single" w:color="CCCCCC" w:sz="1"/>
              <w:right w:val="single" w:color="CCCCCC" w:sz="1"/>
            </w:tcBorders>
            <w:shd w:fill="F2F2F2" w:val="clear"/>
            <w:tcMar>
              <w:top w:type="dxa" w:w="80"/>
              <w:left w:type="dxa" w:w="80"/>
              <w:bottom w:type="dxa" w:w="80"/>
              <w:right w:type="dxa" w:w="80"/>
            </w:tcMar>
          </w:tcPr>
          <w:p>
            <w:r>
              <w:rPr>
                <w:sz w:val="20"/>
                <w:szCs w:val="20"/>
              </w:rPr>
              <w:t xml:space="preserve">2.2%</w:t>
            </w:r>
          </w:p>
        </w:tc>
        <w:tc>
          <w:tcPr>
            <w:tcW w:type="dxa" w:w="1755"/>
            <w:tcBorders>
              <w:top w:val="single" w:color="CCCCCC" w:sz="1"/>
              <w:left w:val="single" w:color="CCCCCC" w:sz="1"/>
              <w:bottom w:val="single" w:color="CCCCCC" w:sz="1"/>
              <w:right w:val="single" w:color="CCCCCC" w:sz="1"/>
            </w:tcBorders>
            <w:shd w:fill="F2F2F2" w:val="clear"/>
            <w:tcMar>
              <w:top w:type="dxa" w:w="80"/>
              <w:left w:type="dxa" w:w="80"/>
              <w:bottom w:type="dxa" w:w="80"/>
              <w:right w:type="dxa" w:w="80"/>
            </w:tcMar>
          </w:tcPr>
          <w:p>
            <w:r>
              <w:rPr>
                <w:sz w:val="20"/>
                <w:szCs w:val="20"/>
              </w:rPr>
              <w:t xml:space="preserve">1.5%</w:t>
            </w:r>
          </w:p>
        </w:tc>
        <w:tc>
          <w:tcPr>
            <w:tcW w:type="dxa" w:w="1755"/>
            <w:tcBorders>
              <w:top w:val="single" w:color="CCCCCC" w:sz="1"/>
              <w:left w:val="single" w:color="CCCCCC" w:sz="1"/>
              <w:bottom w:val="single" w:color="CCCCCC" w:sz="1"/>
              <w:right w:val="single" w:color="CCCCCC" w:sz="1"/>
            </w:tcBorders>
            <w:shd w:fill="F2F2F2" w:val="clear"/>
            <w:tcMar>
              <w:top w:type="dxa" w:w="80"/>
              <w:left w:type="dxa" w:w="80"/>
              <w:bottom w:type="dxa" w:w="80"/>
              <w:right w:type="dxa" w:w="80"/>
            </w:tcMar>
          </w:tcPr>
          <w:p>
            <w:r>
              <w:rPr>
                <w:sz w:val="20"/>
                <w:szCs w:val="20"/>
              </w:rPr>
              <w:t xml:space="preserve">Loss</w:t>
            </w:r>
          </w:p>
        </w:tc>
      </w:tr>
      <w:tr>
        <w:tc>
          <w:tcPr>
            <w:tcW w:type="dxa" w:w="234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sz w:val="20"/>
                <w:szCs w:val="20"/>
              </w:rPr>
              <w:t xml:space="preserve">Free Cash Flow</w:t>
            </w:r>
          </w:p>
        </w:tc>
        <w:tc>
          <w:tcPr>
            <w:tcW w:type="dxa" w:w="1755"/>
            <w:tcBorders>
              <w:top w:val="single" w:color="CCCCCC" w:sz="1"/>
              <w:left w:val="single" w:color="CCCCCC" w:sz="1"/>
              <w:bottom w:val="single" w:color="CCCCCC" w:sz="1"/>
              <w:right w:val="single" w:color="CCCCCC" w:sz="1"/>
            </w:tcBorders>
            <w:tcMar>
              <w:top w:type="dxa" w:w="80"/>
              <w:left w:type="dxa" w:w="80"/>
              <w:bottom w:type="dxa" w:w="80"/>
              <w:right w:type="dxa" w:w="80"/>
            </w:tcMar>
          </w:tcPr>
          <w:p>
            <w:r>
              <w:rPr>
                <w:sz w:val="20"/>
                <w:szCs w:val="20"/>
              </w:rPr>
              <w:t xml:space="preserve">€3.69B</w:t>
            </w:r>
          </w:p>
        </w:tc>
        <w:tc>
          <w:tcPr>
            <w:tcW w:type="dxa" w:w="1755"/>
            <w:tcBorders>
              <w:top w:val="single" w:color="CCCCCC" w:sz="1"/>
              <w:left w:val="single" w:color="CCCCCC" w:sz="1"/>
              <w:bottom w:val="single" w:color="CCCCCC" w:sz="1"/>
              <w:right w:val="single" w:color="CCCCCC" w:sz="1"/>
            </w:tcBorders>
            <w:tcMar>
              <w:top w:type="dxa" w:w="80"/>
              <w:left w:type="dxa" w:w="80"/>
              <w:bottom w:type="dxa" w:w="80"/>
              <w:right w:type="dxa" w:w="80"/>
            </w:tcMar>
          </w:tcPr>
          <w:p>
            <w:r>
              <w:rPr>
                <w:sz w:val="20"/>
                <w:szCs w:val="20"/>
              </w:rPr>
              <w:t xml:space="preserve">€65M</w:t>
            </w:r>
          </w:p>
        </w:tc>
        <w:tc>
          <w:tcPr>
            <w:tcW w:type="dxa" w:w="1755"/>
            <w:tcBorders>
              <w:top w:val="single" w:color="CCCCCC" w:sz="1"/>
              <w:left w:val="single" w:color="CCCCCC" w:sz="1"/>
              <w:bottom w:val="single" w:color="CCCCCC" w:sz="1"/>
              <w:right w:val="single" w:color="CCCCCC" w:sz="1"/>
            </w:tcBorders>
            <w:tcMar>
              <w:top w:type="dxa" w:w="80"/>
              <w:left w:type="dxa" w:w="80"/>
              <w:bottom w:type="dxa" w:w="80"/>
              <w:right w:type="dxa" w:w="80"/>
            </w:tcMar>
          </w:tcPr>
          <w:p>
            <w:r>
              <w:rPr>
                <w:sz w:val="20"/>
                <w:szCs w:val="20"/>
              </w:rPr>
              <w:t xml:space="preserve">€12M</w:t>
            </w:r>
          </w:p>
        </w:tc>
        <w:tc>
          <w:tcPr>
            <w:tcW w:type="dxa" w:w="1755"/>
            <w:tcBorders>
              <w:top w:val="single" w:color="CCCCCC" w:sz="1"/>
              <w:left w:val="single" w:color="CCCCCC" w:sz="1"/>
              <w:bottom w:val="single" w:color="CCCCCC" w:sz="1"/>
              <w:right w:val="single" w:color="CCCCCC" w:sz="1"/>
            </w:tcBorders>
            <w:tcMar>
              <w:top w:type="dxa" w:w="80"/>
              <w:left w:type="dxa" w:w="80"/>
              <w:bottom w:type="dxa" w:w="80"/>
              <w:right w:type="dxa" w:w="80"/>
            </w:tcMar>
          </w:tcPr>
          <w:p>
            <w:r>
              <w:rPr>
                <w:sz w:val="20"/>
                <w:szCs w:val="20"/>
              </w:rPr>
              <w:t xml:space="preserve">€35M</w:t>
            </w:r>
          </w:p>
        </w:tc>
      </w:tr>
    </w:tbl>
    <w:p>
      <w:r>
        <w:t xml:space="preserve">EssilorLuxottica's scale advantage is evident: revenue is 26x larger than Safilo and 34x larger than Warby Parker, while superior operational efficiency generates profit margins 4x higher than traditional competitors.</w:t>
      </w:r>
    </w:p>
    <w:p>
      <w:pPr>
        <w:pStyle w:val="Heading3"/>
        <w:spacing w:before="360"/>
      </w:pPr>
      <w:r>
        <w:t xml:space="preserve">Professional Services &amp; Med-Tech Comparison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F4E78" w:val="clear"/>
            <w:tcMar>
              <w:top w:type="dxa" w:w="80"/>
              <w:left w:type="dxa" w:w="80"/>
              <w:bottom w:type="dxa" w:w="80"/>
              <w:right w:type="dxa" w:w="80"/>
            </w:tcMar>
          </w:tcPr>
          <w:p>
            <w:r>
              <w:rPr>
                <w:b/>
                <w:bCs/>
                <w:color w:val="FFFFFF"/>
                <w:sz w:val="20"/>
                <w:szCs w:val="20"/>
              </w:rPr>
              <w:t xml:space="preserve">Metric (2024)</w:t>
            </w:r>
          </w:p>
        </w:tc>
        <w:tc>
          <w:tcPr>
            <w:tcW w:type="dxa" w:w="3120"/>
            <w:tcBorders>
              <w:top w:val="single" w:color="CCCCCC" w:sz="1"/>
              <w:left w:val="single" w:color="CCCCCC" w:sz="1"/>
              <w:bottom w:val="single" w:color="CCCCCC" w:sz="1"/>
              <w:right w:val="single" w:color="CCCCCC" w:sz="1"/>
            </w:tcBorders>
            <w:shd w:fill="1F4E78" w:val="clear"/>
            <w:tcMar>
              <w:top w:type="dxa" w:w="80"/>
              <w:left w:type="dxa" w:w="80"/>
              <w:bottom w:type="dxa" w:w="80"/>
              <w:right w:type="dxa" w:w="80"/>
            </w:tcMar>
          </w:tcPr>
          <w:p>
            <w:r>
              <w:rPr>
                <w:b/>
                <w:bCs/>
                <w:color w:val="FFFFFF"/>
                <w:sz w:val="20"/>
                <w:szCs w:val="20"/>
              </w:rPr>
              <w:t xml:space="preserve">EssilorLuxottica</w:t>
            </w:r>
          </w:p>
        </w:tc>
        <w:tc>
          <w:tcPr>
            <w:tcW w:type="dxa" w:w="3120"/>
            <w:tcBorders>
              <w:top w:val="single" w:color="CCCCCC" w:sz="1"/>
              <w:left w:val="single" w:color="CCCCCC" w:sz="1"/>
              <w:bottom w:val="single" w:color="CCCCCC" w:sz="1"/>
              <w:right w:val="single" w:color="CCCCCC" w:sz="1"/>
            </w:tcBorders>
            <w:shd w:fill="1F4E78" w:val="clear"/>
            <w:tcMar>
              <w:top w:type="dxa" w:w="80"/>
              <w:left w:type="dxa" w:w="80"/>
              <w:bottom w:type="dxa" w:w="80"/>
              <w:right w:type="dxa" w:w="80"/>
            </w:tcMar>
          </w:tcPr>
          <w:p>
            <w:r>
              <w:rPr>
                <w:b/>
                <w:bCs/>
                <w:color w:val="FFFFFF"/>
                <w:sz w:val="20"/>
                <w:szCs w:val="20"/>
              </w:rPr>
              <w:t xml:space="preserve">Hoya</w:t>
            </w:r>
          </w:p>
        </w:tc>
      </w:tr>
      <w:tr>
        <w:tc>
          <w:tcPr>
            <w:tcW w:type="dxa" w:w="312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sz w:val="20"/>
                <w:szCs w:val="20"/>
              </w:rPr>
              <w:t xml:space="preserve">Revenue</w:t>
            </w:r>
          </w:p>
        </w:tc>
        <w:tc>
          <w:tcPr>
            <w:tcW w:type="dxa" w:w="312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sz w:val="20"/>
                <w:szCs w:val="20"/>
              </w:rPr>
              <w:t xml:space="preserve">€26.51B</w:t>
            </w:r>
          </w:p>
        </w:tc>
        <w:tc>
          <w:tcPr>
            <w:tcW w:type="dxa" w:w="312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sz w:val="20"/>
                <w:szCs w:val="20"/>
              </w:rPr>
              <w:t xml:space="preserve">€4.78B</w:t>
            </w:r>
          </w:p>
        </w:tc>
      </w:tr>
      <w:tr>
        <w:tc>
          <w:tcPr>
            <w:tcW w:type="dxa" w:w="3120"/>
            <w:tcBorders>
              <w:top w:val="single" w:color="CCCCCC" w:sz="1"/>
              <w:left w:val="single" w:color="CCCCCC" w:sz="1"/>
              <w:bottom w:val="single" w:color="CCCCCC" w:sz="1"/>
              <w:right w:val="single" w:color="CCCCCC" w:sz="1"/>
            </w:tcBorders>
            <w:shd w:fill="F2F2F2" w:val="clear"/>
            <w:tcMar>
              <w:top w:type="dxa" w:w="80"/>
              <w:left w:type="dxa" w:w="80"/>
              <w:bottom w:type="dxa" w:w="80"/>
              <w:right w:type="dxa" w:w="80"/>
            </w:tcMar>
          </w:tcPr>
          <w:p>
            <w:r>
              <w:rPr>
                <w:sz w:val="20"/>
                <w:szCs w:val="20"/>
              </w:rPr>
              <w:t xml:space="preserve">Net Profit Margin</w:t>
            </w:r>
          </w:p>
        </w:tc>
        <w:tc>
          <w:tcPr>
            <w:tcW w:type="dxa" w:w="3120"/>
            <w:tcBorders>
              <w:top w:val="single" w:color="CCCCCC" w:sz="1"/>
              <w:left w:val="single" w:color="CCCCCC" w:sz="1"/>
              <w:bottom w:val="single" w:color="CCCCCC" w:sz="1"/>
              <w:right w:val="single" w:color="CCCCCC" w:sz="1"/>
            </w:tcBorders>
            <w:shd w:fill="F2F2F2" w:val="clear"/>
            <w:tcMar>
              <w:top w:type="dxa" w:w="80"/>
              <w:left w:type="dxa" w:w="80"/>
              <w:bottom w:type="dxa" w:w="80"/>
              <w:right w:type="dxa" w:w="80"/>
            </w:tcMar>
          </w:tcPr>
          <w:p>
            <w:r>
              <w:rPr>
                <w:sz w:val="20"/>
                <w:szCs w:val="20"/>
              </w:rPr>
              <w:t xml:space="preserve">8.9%</w:t>
            </w:r>
          </w:p>
        </w:tc>
        <w:tc>
          <w:tcPr>
            <w:tcW w:type="dxa" w:w="3120"/>
            <w:tcBorders>
              <w:top w:val="single" w:color="CCCCCC" w:sz="1"/>
              <w:left w:val="single" w:color="CCCCCC" w:sz="1"/>
              <w:bottom w:val="single" w:color="CCCCCC" w:sz="1"/>
              <w:right w:val="single" w:color="CCCCCC" w:sz="1"/>
            </w:tcBorders>
            <w:shd w:fill="F2F2F2" w:val="clear"/>
            <w:tcMar>
              <w:top w:type="dxa" w:w="80"/>
              <w:left w:type="dxa" w:w="80"/>
              <w:bottom w:type="dxa" w:w="80"/>
              <w:right w:type="dxa" w:w="80"/>
            </w:tcMar>
          </w:tcPr>
          <w:p>
            <w:r>
              <w:rPr>
                <w:sz w:val="20"/>
                <w:szCs w:val="20"/>
              </w:rPr>
              <w:t xml:space="preserve">23.3%</w:t>
            </w:r>
          </w:p>
        </w:tc>
      </w:tr>
      <w:tr>
        <w:tc>
          <w:tcPr>
            <w:tcW w:type="dxa" w:w="312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sz w:val="20"/>
                <w:szCs w:val="20"/>
              </w:rPr>
              <w:t xml:space="preserve">Solvency Ratio</w:t>
            </w:r>
          </w:p>
        </w:tc>
        <w:tc>
          <w:tcPr>
            <w:tcW w:type="dxa" w:w="312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sz w:val="20"/>
                <w:szCs w:val="20"/>
              </w:rPr>
              <w:t xml:space="preserve">64%</w:t>
            </w:r>
          </w:p>
        </w:tc>
        <w:tc>
          <w:tcPr>
            <w:tcW w:type="dxa" w:w="312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sz w:val="20"/>
                <w:szCs w:val="20"/>
              </w:rPr>
              <w:t xml:space="preserve">79%</w:t>
            </w:r>
          </w:p>
        </w:tc>
      </w:tr>
    </w:tbl>
    <w:p>
      <w:r>
        <w:t xml:space="preserve">While specialized competitors like Hoya demonstrate superior profitability in niche segments, EssilorLuxottica's ability to bundle world-class lenses with dominant frame brands creates a gatekeeper advantage that pure technology players cannot replicate. The company maintains the largest market presence with strong financial resilience.</w:t>
      </w:r>
    </w:p>
    <w:p>
      <w:pPr>
        <w:pStyle w:val="Heading1"/>
        <w:pageBreakBefore/>
      </w:pPr>
      <w:r>
        <w:t xml:space="preserve">VALUATION ANALYSIS</w:t>
      </w:r>
    </w:p>
    <w:p>
      <w:pPr>
        <w:pStyle w:val="Heading2"/>
      </w:pPr>
      <w:r>
        <w:t xml:space="preserve">Current Valuation Metrics</w:t>
      </w:r>
    </w:p>
    <w:p>
      <w:r>
        <w:t xml:space="preserve">As of January 16, 2026 (share price: €271):</w:t>
      </w:r>
    </w:p>
    <w:p>
      <w:r>
        <w:t xml:space="preserve">• Trailing P/E Ratio: 52.5</w:t>
      </w:r>
    </w:p>
    <w:p>
      <w:r>
        <w:t xml:space="preserve">• 5-Year Average P/E: Mid-40s</w:t>
      </w:r>
    </w:p>
    <w:p>
      <w:r>
        <w:t xml:space="preserve">• Industry Average P/E: 25.5</w:t>
      </w:r>
    </w:p>
    <w:p>
      <w:r>
        <w:t xml:space="preserve">• Forward P/E (2025E): 45.3</w:t>
      </w:r>
    </w:p>
    <w:p>
      <w:r>
        <w:t xml:space="preserve">• PEG Ratio (5-year expected): 2.28-2.70</w:t>
      </w:r>
    </w:p>
    <w:p>
      <w:pPr>
        <w:pStyle w:val="Heading2"/>
        <w:spacing w:before="360"/>
      </w:pPr>
      <w:r>
        <w:t xml:space="preserve">Valuation Assessment</w:t>
      </w:r>
    </w:p>
    <w:p>
      <w:r>
        <w:t xml:space="preserve">EssilorLuxottica currently trades at a significant premium to historical levels and industry peers:</w:t>
      </w:r>
    </w:p>
    <w:p>
      <w:r>
        <w:t xml:space="preserve">• Trading at 2.06x the industry average P/E ratio</w:t>
      </w:r>
    </w:p>
    <w:p>
      <w:r>
        <w:t xml:space="preserve">• 16% above its 5-year average valuation</w:t>
      </w:r>
    </w:p>
    <w:p>
      <w:r>
        <w:t xml:space="preserve">• PEG ratio well above the 1.0 threshold for attractive growth stocks</w:t>
      </w:r>
    </w:p>
    <w:p>
      <w:r>
        <w:t xml:space="preserve">The premium valuation reflects high market expectations for growth acceleration from smart eyewear and medical technology segments. However, much of this anticipated growth appears already priced into the current share price, despite limited proven sustainability of these emerging revenue streams.</w:t>
      </w:r>
    </w:p>
    <w:p>
      <w:pPr>
        <w:pStyle w:val="Heading2"/>
        <w:spacing w:before="360"/>
      </w:pPr>
      <w:r>
        <w:t xml:space="preserve">Analyst Consensus</w:t>
      </w:r>
    </w:p>
    <w:p>
      <w:r>
        <w:t xml:space="preserve">Consensus 12-month price target: €325-€332 (20-22% upside)</w:t>
      </w:r>
    </w:p>
    <w:p>
      <w:r>
        <w:t xml:space="preserve">• High estimate: €365</w:t>
      </w:r>
    </w:p>
    <w:p>
      <w:r>
        <w:t xml:space="preserve">• Low estimate: €180-€250</w:t>
      </w:r>
    </w:p>
    <w:p>
      <w:r>
        <w:t xml:space="preserve">• Strong Buy: 16-22 analysts</w:t>
      </w:r>
    </w:p>
    <w:p>
      <w:r>
        <w:t xml:space="preserve">• Buy: 3-12 analysts</w:t>
      </w:r>
    </w:p>
    <w:p>
      <w:r>
        <w:t xml:space="preserve">• Hold: 3 analysts</w:t>
      </w:r>
    </w:p>
    <w:p>
      <w:r>
        <w:t xml:space="preserve">The wide range of estimates reflects significant uncertainty regarding the trajectory of smart eyewear adoption and execution risk on growth initiatives.</w:t>
      </w:r>
    </w:p>
    <w:p>
      <w:pPr>
        <w:pStyle w:val="Heading1"/>
        <w:pageBreakBefore/>
      </w:pPr>
      <w:r>
        <w:t xml:space="preserve">RISK ASSESSMENT</w:t>
      </w:r>
    </w:p>
    <w:p>
      <w:pPr>
        <w:pStyle w:val="Heading2"/>
      </w:pPr>
      <w:r>
        <w:t xml:space="preserve">Key Investment Risks</w:t>
      </w:r>
    </w:p>
    <w:p>
      <w:pPr>
        <w:pStyle w:val="Heading3"/>
        <w:spacing w:before="240"/>
      </w:pPr>
      <w:r>
        <w:t xml:space="preserve">1. Antitrust and Regulatory Risk</w:t>
      </w:r>
    </w:p>
    <w:p>
      <w:r>
        <w:t xml:space="preserve">With approximately 25% global market share and extensive vertical integration, EssilorLuxottica remains a persistent target for antitrust authorities in the European Union and United States. Regulatory concerns include:</w:t>
      </w:r>
    </w:p>
    <w:p>
      <w:r>
        <w:t xml:space="preserve">• Potential anticompetitive practices leveraging gatekeeper market position</w:t>
      </w:r>
    </w:p>
    <w:p>
      <w:r>
        <w:t xml:space="preserve">• Possible forced divestitures of retail networks (e.g., LensCrafters) or licensing businesses</w:t>
      </w:r>
    </w:p>
    <w:p>
      <w:r>
        <w:t xml:space="preserve">• Restrictions on vertical integration advantages that currently justify premium valuation</w:t>
      </w:r>
    </w:p>
    <w:p>
      <w:r>
        <w:t xml:space="preserve">Any successful regulatory action could materially damage the company's competitive moat and financial performance.</w:t>
      </w:r>
    </w:p>
    <w:p>
      <w:pPr>
        <w:pStyle w:val="Heading3"/>
        <w:spacing w:before="360"/>
      </w:pPr>
      <w:r>
        <w:t xml:space="preserve">2. Meta Partnership Dependency</w:t>
      </w:r>
    </w:p>
    <w:p>
      <w:r>
        <w:t xml:space="preserve">A significant portion of the growth thesis depends on the Ray-Ban Meta smart glasses partnership, creating concentrated platform risk:</w:t>
      </w:r>
    </w:p>
    <w:p>
      <w:r>
        <w:rPr>
          <w:b/>
          <w:bCs/>
        </w:rPr>
        <w:t xml:space="preserve">Control Concentration: </w:t>
      </w:r>
      <w:r>
        <w:t xml:space="preserve">Meta controls the essential AI software, data ecosystem, and user experience. Partnership termination or deterioration would fundamentally compromise EssilorLuxottica's smart eyewear strategy.</w:t>
      </w:r>
    </w:p>
    <w:p>
      <w:r>
        <w:rPr>
          <w:b/>
          <w:bCs/>
        </w:rPr>
        <w:t xml:space="preserve">Reputational Risk: </w:t>
      </w:r>
      <w:r>
        <w:t xml:space="preserve">Meta's reputation challenges related to privacy, data security, or regulatory issues could negatively impact smart glasses adoption and brand perception.</w:t>
      </w:r>
    </w:p>
    <w:p>
      <w:r>
        <w:rPr>
          <w:b/>
          <w:bCs/>
        </w:rPr>
        <w:t xml:space="preserve">Cannibalization Risk: </w:t>
      </w:r>
      <w:r>
        <w:t xml:space="preserve">Long-term potential for smart glasses to disrupt the traditional prescription lens business—currently the company's primary cash flow generator.</w:t>
      </w:r>
    </w:p>
    <w:p>
      <w:pPr>
        <w:pStyle w:val="Heading3"/>
        <w:spacing w:before="360"/>
      </w:pPr>
      <w:r>
        <w:t xml:space="preserve">3. Execution and Innovation Risk</w:t>
      </w:r>
    </w:p>
    <w:p>
      <w:r>
        <w:t xml:space="preserve">The premium valuation is predicated on successful execution across multiple strategic initiatives:</w:t>
      </w:r>
    </w:p>
    <w:p>
      <w:r>
        <w:rPr>
          <w:b/>
          <w:bCs/>
        </w:rPr>
        <w:t xml:space="preserve">Smart Eyewear Adoption: </w:t>
      </w:r>
      <w:r>
        <w:t xml:space="preserve">If consumer adoption of smart glasses fails to scale as anticipated, growth expectations will decline and valuation multiples will compress.</w:t>
      </w:r>
    </w:p>
    <w:p>
      <w:r>
        <w:rPr>
          <w:b/>
          <w:bCs/>
        </w:rPr>
        <w:t xml:space="preserve">R&amp;D and Capital Efficiency: </w:t>
      </w:r>
      <w:r>
        <w:t xml:space="preserve">High R&amp;D and capital expenditure requirements without proportional returns would reduce return on invested capital and financial performance.</w:t>
      </w:r>
    </w:p>
    <w:p>
      <w:r>
        <w:rPr>
          <w:b/>
          <w:bCs/>
        </w:rPr>
        <w:t xml:space="preserve">Competitive Innovation: </w:t>
      </w:r>
      <w:r>
        <w:t xml:space="preserve">Slower innovation relative to pure technology competitors could result in loss of first-mover advantage and market share.</w:t>
      </w:r>
    </w:p>
    <w:p>
      <w:pPr>
        <w:pStyle w:val="Heading2"/>
        <w:spacing w:before="480"/>
      </w:pPr>
      <w:r>
        <w:t xml:space="preserve">Risk/Reward Analysis</w:t>
      </w:r>
    </w:p>
    <w:p>
      <w:r>
        <w:t xml:space="preserve">At entry price of €253:</w:t>
      </w:r>
    </w:p>
    <w:p>
      <w:r>
        <w:t xml:space="preserve">• Upside target (all-time high): €323</w:t>
      </w:r>
    </w:p>
    <w:p>
      <w:r>
        <w:t xml:space="preserve">• Downside target (10-year low): €87.80</w:t>
      </w:r>
    </w:p>
    <w:p>
      <w:r>
        <w:t xml:space="preserve">• Risk/Reward Ratio: 0.42</w:t>
      </w:r>
    </w:p>
    <w:p>
      <w:r>
        <w:t xml:space="preserve">The current risk/reward profile is unfavorable, with potential downside significantly exceeding upside. A ratio of 1.0 or higher is required for investment consideration under conservative risk management principles.</w:t>
      </w:r>
    </w:p>
    <w:p>
      <w:pPr>
        <w:pStyle w:val="Heading1"/>
        <w:pageBreakBefore/>
      </w:pPr>
      <w:r>
        <w:t xml:space="preserve">INVESTMENT THESIS &amp; RECOMMENDATION</w:t>
      </w:r>
    </w:p>
    <w:p>
      <w:pPr>
        <w:pStyle w:val="Heading2"/>
      </w:pPr>
      <w:r>
        <w:t xml:space="preserve">Investment Strengths</w:t>
      </w:r>
    </w:p>
    <w:p>
      <w:r>
        <w:t xml:space="preserve">• Dominant market position with approximately 25% global market share</w:t>
      </w:r>
    </w:p>
    <w:p>
      <w:r>
        <w:t xml:space="preserve">• Wide economic moat from vertical integration, brand portfolio, and IP assets</w:t>
      </w:r>
    </w:p>
    <w:p>
      <w:r>
        <w:t xml:space="preserve">• Strong cash flow generation (€3.69B FCF in 2024)</w:t>
      </w:r>
    </w:p>
    <w:p>
      <w:r>
        <w:t xml:space="preserve">• Robust balance sheet with conservative leverage</w:t>
      </w:r>
    </w:p>
    <w:p>
      <w:r>
        <w:t xml:space="preserve">• Exposure to structural growth drivers (aging demographics, rising myopia rates)</w:t>
      </w:r>
    </w:p>
    <w:p>
      <w:r>
        <w:t xml:space="preserve">• Asymmetric upside potential from smart eyewear category</w:t>
      </w:r>
    </w:p>
    <w:p>
      <w:r>
        <w:t xml:space="preserve">• Defensive business model with non-cyclical demand characteristics</w:t>
      </w:r>
    </w:p>
    <w:p>
      <w:pPr>
        <w:pStyle w:val="Heading2"/>
        <w:spacing w:before="360"/>
      </w:pPr>
      <w:r>
        <w:t xml:space="preserve">Investment Concerns</w:t>
      </w:r>
    </w:p>
    <w:p>
      <w:r>
        <w:t xml:space="preserve">• Traditional business growth limited to low-to-mid single digits</w:t>
      </w:r>
    </w:p>
    <w:p>
      <w:r>
        <w:t xml:space="preserve">• Significant antitrust and regulatory risk given market dominance</w:t>
      </w:r>
    </w:p>
    <w:p>
      <w:r>
        <w:t xml:space="preserve">• High dependency on Meta partnership for smart eyewear growth</w:t>
      </w:r>
    </w:p>
    <w:p>
      <w:r>
        <w:t xml:space="preserve">• Premium valuation (P/E 52.5) with much growth already priced in</w:t>
      </w:r>
    </w:p>
    <w:p>
      <w:r>
        <w:t xml:space="preserve">• Unfavorable risk/reward ratio at current price levels</w:t>
      </w:r>
    </w:p>
    <w:p>
      <w:r>
        <w:t xml:space="preserve">• Execution risk on unproven high-growth segments</w:t>
      </w:r>
    </w:p>
    <w:p>
      <w:pPr>
        <w:pStyle w:val="Heading2"/>
        <w:spacing w:before="360"/>
      </w:pPr>
      <w:r>
        <w:t xml:space="preserve">Long-Term Outlook</w:t>
      </w:r>
    </w:p>
    <w:p>
      <w:r>
        <w:t xml:space="preserve">Smart eyewear represents a potentially transformative technology with the capability to eventually replace smartphones as the primary personal computing interface. Integration with AI assistants could enable comprehensive functionality including communications, photography, navigation, gaming, and social media—all through voice and gesture controls.</w:t>
      </w:r>
    </w:p>
    <w:p>
      <w:r>
        <w:t xml:space="preserve">However, mass market adoption will require significant time, likely measured in decades rather than years. Consumer acceptance barriers include privacy concerns, social norms, battery life limitations, and cost considerations. Meanwhile, EssilorLuxottica can benefit from incremental smart glasses adoption while maintaining its core traditional eyewear business.</w:t>
      </w:r>
    </w:p>
    <w:p>
      <w:r>
        <w:t xml:space="preserve">The company represents a stable long-term holding with conservative growth from traditional operations (approximately 4% annually), enhanced by demographic tailwinds and potential upside from smart eyewear. The 1.55% dividend yield provides modest income while investors wait for growth acceleration.</w:t>
      </w:r>
    </w:p>
    <w:p>
      <w:pPr>
        <w:pStyle w:val="Heading2"/>
        <w:spacing w:before="360"/>
      </w:pPr>
      <w:r>
        <w:t xml:space="preserve">Price Targets and Entry Points</w:t>
      </w:r>
    </w:p>
    <w:p>
      <w:r>
        <w:t xml:space="preserve">• Current Price (January 16, 2026): €271</w:t>
      </w:r>
    </w:p>
    <w:p>
      <w:r>
        <w:t xml:space="preserve">• Conservative Entry Target (1.0 R/R ratio): €205 or below</w:t>
      </w:r>
    </w:p>
    <w:p>
      <w:r>
        <w:t xml:space="preserve">• Attractive Entry Target (200-week SMA): €187 or below</w:t>
      </w:r>
    </w:p>
    <w:p>
      <w:r>
        <w:t xml:space="preserve">At these levels, the risk/reward profile becomes more favorable and the valuation provides adequate margin of safety for long-term investors.</w:t>
      </w:r>
    </w:p>
    <w:p>
      <w:pPr>
        <w:pStyle w:val="Heading2"/>
        <w:spacing w:before="360"/>
      </w:pPr>
      <w:r>
        <w:t xml:space="preserve">Investment Recommendation</w:t>
      </w:r>
    </w:p>
    <w:p>
      <w:pPr>
        <w:spacing w:before="120" w:after="240"/>
      </w:pPr>
      <w:r>
        <w:rPr>
          <w:b/>
          <w:bCs/>
          <w:sz w:val="28"/>
          <w:szCs w:val="28"/>
        </w:rPr>
        <w:t xml:space="preserve">HOLD / DO NOT INITIATE AT CURRENT LEVELS</w:t>
      </w:r>
    </w:p>
    <w:p>
      <w:r>
        <w:t xml:space="preserve">EssilorLuxottica is a high-quality company with strong competitive advantages and attractive long-term prospects. However, the current valuation reflects overly optimistic expectations for near-term growth from unproven smart eyewear revenue. The premium P/E ratio of 52.5 leaves limited margin of safety and creates unfavorable risk/reward dynamics.</w:t>
      </w:r>
    </w:p>
    <w:p>
      <w:r>
        <w:t xml:space="preserve">The company merits addition to a watchlist with plans to initiate a position at more attractive valuations. Specifically:</w:t>
      </w:r>
    </w:p>
    <w:p>
      <w:r>
        <w:t xml:space="preserve">• Begin accumulation below €205 (conservative risk/reward threshold)</w:t>
      </w:r>
    </w:p>
    <w:p>
      <w:r>
        <w:t xml:space="preserve">• Increase position size aggressively below €187 (200-week SMA)</w:t>
      </w:r>
    </w:p>
    <w:p>
      <w:r>
        <w:t xml:space="preserve">• Suitable for a 30-40 year investment horizon given business quality and defensive characteristics</w:t>
      </w:r>
    </w:p>
    <w:p>
      <w:pPr>
        <w:pStyle w:val="Heading1"/>
        <w:pageBreakBefore/>
      </w:pPr>
      <w:r>
        <w:t xml:space="preserve">APPENDIX: ANALYST RATINGS SUMMARY</w:t>
      </w:r>
    </w:p>
    <w:p>
      <w:pPr>
        <w:pStyle w:val="Heading2"/>
      </w:pPr>
      <w:r>
        <w:t xml:space="preserve">TradingView Analyst Consensus</w:t>
      </w:r>
    </w:p>
    <w:tbl>
      <w:tblPr>
        <w:tblW w:type="dxa" w:w="4680"/>
        <w:tblBorders>
          <w:top w:val="single" w:color="auto" w:sz="4"/>
          <w:left w:val="single" w:color="auto" w:sz="4"/>
          <w:bottom w:val="single" w:color="auto" w:sz="4"/>
          <w:right w:val="single" w:color="auto" w:sz="4"/>
          <w:insideH w:val="single" w:color="auto" w:sz="4"/>
          <w:insideV w:val="single" w:color="auto" w:sz="4"/>
        </w:tblBorders>
      </w:tblPr>
      <w:tblGrid>
        <w:gridCol w:w="3120"/>
        <w:gridCol w:w="1560"/>
      </w:tblGrid>
      <w:tr>
        <w:tc>
          <w:tcPr>
            <w:tcW w:type="dxa" w:w="3120"/>
            <w:tcBorders>
              <w:top w:val="single" w:color="CCCCCC" w:sz="1"/>
              <w:left w:val="single" w:color="CCCCCC" w:sz="1"/>
              <w:bottom w:val="single" w:color="CCCCCC" w:sz="1"/>
              <w:right w:val="single" w:color="CCCCCC" w:sz="1"/>
            </w:tcBorders>
            <w:shd w:fill="1F4E78" w:val="clear"/>
            <w:tcMar>
              <w:top w:type="dxa" w:w="120"/>
              <w:left w:type="dxa" w:w="120"/>
              <w:bottom w:type="dxa" w:w="120"/>
              <w:right w:type="dxa" w:w="120"/>
            </w:tcMar>
          </w:tcPr>
          <w:p>
            <w:r>
              <w:rPr>
                <w:b/>
                <w:bCs/>
                <w:color w:val="FFFFFF"/>
              </w:rPr>
              <w:t xml:space="preserve">Rating</w:t>
            </w:r>
          </w:p>
        </w:tc>
        <w:tc>
          <w:tcPr>
            <w:tcW w:type="dxa" w:w="1560"/>
            <w:tcBorders>
              <w:top w:val="single" w:color="CCCCCC" w:sz="1"/>
              <w:left w:val="single" w:color="CCCCCC" w:sz="1"/>
              <w:bottom w:val="single" w:color="CCCCCC" w:sz="1"/>
              <w:right w:val="single" w:color="CCCCCC" w:sz="1"/>
            </w:tcBorders>
            <w:shd w:fill="1F4E78" w:val="clear"/>
            <w:tcMar>
              <w:top w:type="dxa" w:w="120"/>
              <w:left w:type="dxa" w:w="120"/>
              <w:bottom w:type="dxa" w:w="120"/>
              <w:right w:type="dxa" w:w="120"/>
            </w:tcMar>
          </w:tcPr>
          <w:p>
            <w:r>
              <w:rPr>
                <w:b/>
                <w:bCs/>
                <w:color w:val="FFFFFF"/>
              </w:rPr>
              <w:t xml:space="preserve">Count</w:t>
            </w:r>
          </w:p>
        </w:tc>
      </w:tr>
      <w:tr>
        <w:tc>
          <w:tcPr>
            <w:tcW w:type="dxa" w:w="3120"/>
            <w:tcBorders>
              <w:top w:val="single" w:color="CCCCCC" w:sz="1"/>
              <w:left w:val="single" w:color="CCCCCC" w:sz="1"/>
              <w:bottom w:val="single" w:color="CCCCCC" w:sz="1"/>
              <w:right w:val="single" w:color="CCCCCC" w:sz="1"/>
            </w:tcBorders>
            <w:tcMar>
              <w:top w:type="dxa" w:w="120"/>
              <w:left w:type="dxa" w:w="120"/>
              <w:bottom w:type="dxa" w:w="120"/>
              <w:right w:type="dxa" w:w="120"/>
            </w:tcMar>
          </w:tcPr>
          <w:p>
            <w:r>
              <w:t xml:space="preserve">Strong Buy</w:t>
            </w:r>
          </w:p>
        </w:tc>
        <w:tc>
          <w:tcPr>
            <w:tcW w:type="dxa" w:w="1560"/>
            <w:tcBorders>
              <w:top w:val="single" w:color="CCCCCC" w:sz="1"/>
              <w:left w:val="single" w:color="CCCCCC" w:sz="1"/>
              <w:bottom w:val="single" w:color="CCCCCC" w:sz="1"/>
              <w:right w:val="single" w:color="CCCCCC" w:sz="1"/>
            </w:tcBorders>
            <w:tcMar>
              <w:top w:type="dxa" w:w="120"/>
              <w:left w:type="dxa" w:w="120"/>
              <w:bottom w:type="dxa" w:w="120"/>
              <w:right w:type="dxa" w:w="120"/>
            </w:tcMar>
          </w:tcPr>
          <w:p>
            <w:r>
              <w:t xml:space="preserve">16</w:t>
            </w:r>
          </w:p>
        </w:tc>
      </w:tr>
      <w:tr>
        <w:tc>
          <w:tcPr>
            <w:tcW w:type="dxa" w:w="3120"/>
            <w:tcBorders>
              <w:top w:val="single" w:color="CCCCCC" w:sz="1"/>
              <w:left w:val="single" w:color="CCCCCC" w:sz="1"/>
              <w:bottom w:val="single" w:color="CCCCCC" w:sz="1"/>
              <w:right w:val="single" w:color="CCCCCC" w:sz="1"/>
            </w:tcBorders>
            <w:shd w:fill="F2F2F2" w:val="clear"/>
            <w:tcMar>
              <w:top w:type="dxa" w:w="120"/>
              <w:left w:type="dxa" w:w="120"/>
              <w:bottom w:type="dxa" w:w="120"/>
              <w:right w:type="dxa" w:w="120"/>
            </w:tcMar>
          </w:tcPr>
          <w:p>
            <w:r>
              <w:t xml:space="preserve">Buy</w:t>
            </w:r>
          </w:p>
        </w:tc>
        <w:tc>
          <w:tcPr>
            <w:tcW w:type="dxa" w:w="1560"/>
            <w:tcBorders>
              <w:top w:val="single" w:color="CCCCCC" w:sz="1"/>
              <w:left w:val="single" w:color="CCCCCC" w:sz="1"/>
              <w:bottom w:val="single" w:color="CCCCCC" w:sz="1"/>
              <w:right w:val="single" w:color="CCCCCC" w:sz="1"/>
            </w:tcBorders>
            <w:shd w:fill="F2F2F2" w:val="clear"/>
            <w:tcMar>
              <w:top w:type="dxa" w:w="120"/>
              <w:left w:type="dxa" w:w="120"/>
              <w:bottom w:type="dxa" w:w="120"/>
              <w:right w:type="dxa" w:w="120"/>
            </w:tcMar>
          </w:tcPr>
          <w:p>
            <w:r>
              <w:t xml:space="preserve">3</w:t>
            </w:r>
          </w:p>
        </w:tc>
      </w:tr>
      <w:tr>
        <w:tc>
          <w:tcPr>
            <w:tcW w:type="dxa" w:w="3120"/>
            <w:tcBorders>
              <w:top w:val="single" w:color="CCCCCC" w:sz="1"/>
              <w:left w:val="single" w:color="CCCCCC" w:sz="1"/>
              <w:bottom w:val="single" w:color="CCCCCC" w:sz="1"/>
              <w:right w:val="single" w:color="CCCCCC" w:sz="1"/>
            </w:tcBorders>
            <w:tcMar>
              <w:top w:type="dxa" w:w="120"/>
              <w:left w:type="dxa" w:w="120"/>
              <w:bottom w:type="dxa" w:w="120"/>
              <w:right w:type="dxa" w:w="120"/>
            </w:tcMar>
          </w:tcPr>
          <w:p>
            <w:r>
              <w:t xml:space="preserve">Hold</w:t>
            </w:r>
          </w:p>
        </w:tc>
        <w:tc>
          <w:tcPr>
            <w:tcW w:type="dxa" w:w="1560"/>
            <w:tcBorders>
              <w:top w:val="single" w:color="CCCCCC" w:sz="1"/>
              <w:left w:val="single" w:color="CCCCCC" w:sz="1"/>
              <w:bottom w:val="single" w:color="CCCCCC" w:sz="1"/>
              <w:right w:val="single" w:color="CCCCCC" w:sz="1"/>
            </w:tcBorders>
            <w:tcMar>
              <w:top w:type="dxa" w:w="120"/>
              <w:left w:type="dxa" w:w="120"/>
              <w:bottom w:type="dxa" w:w="120"/>
              <w:right w:type="dxa" w:w="120"/>
            </w:tcMar>
          </w:tcPr>
          <w:p>
            <w:r>
              <w:t xml:space="preserve">3</w:t>
            </w:r>
          </w:p>
        </w:tc>
      </w:tr>
      <w:tr>
        <w:tc>
          <w:tcPr>
            <w:tcW w:type="dxa" w:w="3120"/>
            <w:tcBorders>
              <w:top w:val="single" w:color="CCCCCC" w:sz="1"/>
              <w:left w:val="single" w:color="CCCCCC" w:sz="1"/>
              <w:bottom w:val="single" w:color="CCCCCC" w:sz="1"/>
              <w:right w:val="single" w:color="CCCCCC" w:sz="1"/>
            </w:tcBorders>
            <w:shd w:fill="F2F2F2" w:val="clear"/>
            <w:tcMar>
              <w:top w:type="dxa" w:w="120"/>
              <w:left w:type="dxa" w:w="120"/>
              <w:bottom w:type="dxa" w:w="120"/>
              <w:right w:type="dxa" w:w="120"/>
            </w:tcMar>
          </w:tcPr>
          <w:p>
            <w:r>
              <w:t xml:space="preserve">Sell</w:t>
            </w:r>
          </w:p>
        </w:tc>
        <w:tc>
          <w:tcPr>
            <w:tcW w:type="dxa" w:w="1560"/>
            <w:tcBorders>
              <w:top w:val="single" w:color="CCCCCC" w:sz="1"/>
              <w:left w:val="single" w:color="CCCCCC" w:sz="1"/>
              <w:bottom w:val="single" w:color="CCCCCC" w:sz="1"/>
              <w:right w:val="single" w:color="CCCCCC" w:sz="1"/>
            </w:tcBorders>
            <w:shd w:fill="F2F2F2" w:val="clear"/>
            <w:tcMar>
              <w:top w:type="dxa" w:w="120"/>
              <w:left w:type="dxa" w:w="120"/>
              <w:bottom w:type="dxa" w:w="120"/>
              <w:right w:type="dxa" w:w="120"/>
            </w:tcMar>
          </w:tcPr>
          <w:p>
            <w:r>
              <w:t xml:space="preserve">0</w:t>
            </w:r>
          </w:p>
        </w:tc>
      </w:tr>
      <w:tr>
        <w:tc>
          <w:tcPr>
            <w:tcW w:type="dxa" w:w="3120"/>
            <w:tcBorders>
              <w:top w:val="single" w:color="CCCCCC" w:sz="1"/>
              <w:left w:val="single" w:color="CCCCCC" w:sz="1"/>
              <w:bottom w:val="single" w:color="CCCCCC" w:sz="1"/>
              <w:right w:val="single" w:color="CCCCCC" w:sz="1"/>
            </w:tcBorders>
            <w:tcMar>
              <w:top w:type="dxa" w:w="120"/>
              <w:left w:type="dxa" w:w="120"/>
              <w:bottom w:type="dxa" w:w="120"/>
              <w:right w:type="dxa" w:w="120"/>
            </w:tcMar>
          </w:tcPr>
          <w:p>
            <w:r>
              <w:t xml:space="preserve">Strong Sell</w:t>
            </w:r>
          </w:p>
        </w:tc>
        <w:tc>
          <w:tcPr>
            <w:tcW w:type="dxa" w:w="1560"/>
            <w:tcBorders>
              <w:top w:val="single" w:color="CCCCCC" w:sz="1"/>
              <w:left w:val="single" w:color="CCCCCC" w:sz="1"/>
              <w:bottom w:val="single" w:color="CCCCCC" w:sz="1"/>
              <w:right w:val="single" w:color="CCCCCC" w:sz="1"/>
            </w:tcBorders>
            <w:tcMar>
              <w:top w:type="dxa" w:w="120"/>
              <w:left w:type="dxa" w:w="120"/>
              <w:bottom w:type="dxa" w:w="120"/>
              <w:right w:type="dxa" w:w="120"/>
            </w:tcMar>
          </w:tcPr>
          <w:p>
            <w:r>
              <w:t xml:space="preserve">1</w:t>
            </w:r>
          </w:p>
        </w:tc>
      </w:tr>
    </w:tbl>
    <w:p>
      <w:pPr>
        <w:pStyle w:val="Heading2"/>
        <w:spacing w:before="480"/>
      </w:pPr>
      <w:r>
        <w:t xml:space="preserve">Yahoo Finance Analyst Consensus</w:t>
      </w:r>
    </w:p>
    <w:tbl>
      <w:tblPr>
        <w:tblW w:type="dxa" w:w="4680"/>
        <w:tblBorders>
          <w:top w:val="single" w:color="auto" w:sz="4"/>
          <w:left w:val="single" w:color="auto" w:sz="4"/>
          <w:bottom w:val="single" w:color="auto" w:sz="4"/>
          <w:right w:val="single" w:color="auto" w:sz="4"/>
          <w:insideH w:val="single" w:color="auto" w:sz="4"/>
          <w:insideV w:val="single" w:color="auto" w:sz="4"/>
        </w:tblBorders>
      </w:tblPr>
      <w:tblGrid>
        <w:gridCol w:w="3120"/>
        <w:gridCol w:w="1560"/>
      </w:tblGrid>
      <w:tr>
        <w:tc>
          <w:tcPr>
            <w:tcW w:type="dxa" w:w="3120"/>
            <w:tcBorders>
              <w:top w:val="single" w:color="CCCCCC" w:sz="1"/>
              <w:left w:val="single" w:color="CCCCCC" w:sz="1"/>
              <w:bottom w:val="single" w:color="CCCCCC" w:sz="1"/>
              <w:right w:val="single" w:color="CCCCCC" w:sz="1"/>
            </w:tcBorders>
            <w:shd w:fill="1F4E78" w:val="clear"/>
            <w:tcMar>
              <w:top w:type="dxa" w:w="120"/>
              <w:left w:type="dxa" w:w="120"/>
              <w:bottom w:type="dxa" w:w="120"/>
              <w:right w:type="dxa" w:w="120"/>
            </w:tcMar>
          </w:tcPr>
          <w:p>
            <w:r>
              <w:rPr>
                <w:b/>
                <w:bCs/>
                <w:color w:val="FFFFFF"/>
              </w:rPr>
              <w:t xml:space="preserve">Rating</w:t>
            </w:r>
          </w:p>
        </w:tc>
        <w:tc>
          <w:tcPr>
            <w:tcW w:type="dxa" w:w="1560"/>
            <w:tcBorders>
              <w:top w:val="single" w:color="CCCCCC" w:sz="1"/>
              <w:left w:val="single" w:color="CCCCCC" w:sz="1"/>
              <w:bottom w:val="single" w:color="CCCCCC" w:sz="1"/>
              <w:right w:val="single" w:color="CCCCCC" w:sz="1"/>
            </w:tcBorders>
            <w:shd w:fill="1F4E78" w:val="clear"/>
            <w:tcMar>
              <w:top w:type="dxa" w:w="120"/>
              <w:left w:type="dxa" w:w="120"/>
              <w:bottom w:type="dxa" w:w="120"/>
              <w:right w:type="dxa" w:w="120"/>
            </w:tcMar>
          </w:tcPr>
          <w:p>
            <w:r>
              <w:rPr>
                <w:b/>
                <w:bCs/>
                <w:color w:val="FFFFFF"/>
              </w:rPr>
              <w:t xml:space="preserve">Count</w:t>
            </w:r>
          </w:p>
        </w:tc>
      </w:tr>
      <w:tr>
        <w:tc>
          <w:tcPr>
            <w:tcW w:type="dxa" w:w="3120"/>
            <w:tcBorders>
              <w:top w:val="single" w:color="CCCCCC" w:sz="1"/>
              <w:left w:val="single" w:color="CCCCCC" w:sz="1"/>
              <w:bottom w:val="single" w:color="CCCCCC" w:sz="1"/>
              <w:right w:val="single" w:color="CCCCCC" w:sz="1"/>
            </w:tcBorders>
            <w:tcMar>
              <w:top w:type="dxa" w:w="120"/>
              <w:left w:type="dxa" w:w="120"/>
              <w:bottom w:type="dxa" w:w="120"/>
              <w:right w:type="dxa" w:w="120"/>
            </w:tcMar>
          </w:tcPr>
          <w:p>
            <w:r>
              <w:t xml:space="preserve">Strong Buy</w:t>
            </w:r>
          </w:p>
        </w:tc>
        <w:tc>
          <w:tcPr>
            <w:tcW w:type="dxa" w:w="1560"/>
            <w:tcBorders>
              <w:top w:val="single" w:color="CCCCCC" w:sz="1"/>
              <w:left w:val="single" w:color="CCCCCC" w:sz="1"/>
              <w:bottom w:val="single" w:color="CCCCCC" w:sz="1"/>
              <w:right w:val="single" w:color="CCCCCC" w:sz="1"/>
            </w:tcBorders>
            <w:tcMar>
              <w:top w:type="dxa" w:w="120"/>
              <w:left w:type="dxa" w:w="120"/>
              <w:bottom w:type="dxa" w:w="120"/>
              <w:right w:type="dxa" w:w="120"/>
            </w:tcMar>
          </w:tcPr>
          <w:p>
            <w:r>
              <w:t xml:space="preserve">6</w:t>
            </w:r>
          </w:p>
        </w:tc>
      </w:tr>
      <w:tr>
        <w:tc>
          <w:tcPr>
            <w:tcW w:type="dxa" w:w="3120"/>
            <w:tcBorders>
              <w:top w:val="single" w:color="CCCCCC" w:sz="1"/>
              <w:left w:val="single" w:color="CCCCCC" w:sz="1"/>
              <w:bottom w:val="single" w:color="CCCCCC" w:sz="1"/>
              <w:right w:val="single" w:color="CCCCCC" w:sz="1"/>
            </w:tcBorders>
            <w:shd w:fill="F2F2F2" w:val="clear"/>
            <w:tcMar>
              <w:top w:type="dxa" w:w="120"/>
              <w:left w:type="dxa" w:w="120"/>
              <w:bottom w:type="dxa" w:w="120"/>
              <w:right w:type="dxa" w:w="120"/>
            </w:tcMar>
          </w:tcPr>
          <w:p>
            <w:r>
              <w:t xml:space="preserve">Buy</w:t>
            </w:r>
          </w:p>
        </w:tc>
        <w:tc>
          <w:tcPr>
            <w:tcW w:type="dxa" w:w="1560"/>
            <w:tcBorders>
              <w:top w:val="single" w:color="CCCCCC" w:sz="1"/>
              <w:left w:val="single" w:color="CCCCCC" w:sz="1"/>
              <w:bottom w:val="single" w:color="CCCCCC" w:sz="1"/>
              <w:right w:val="single" w:color="CCCCCC" w:sz="1"/>
            </w:tcBorders>
            <w:shd w:fill="F2F2F2" w:val="clear"/>
            <w:tcMar>
              <w:top w:type="dxa" w:w="120"/>
              <w:left w:type="dxa" w:w="120"/>
              <w:bottom w:type="dxa" w:w="120"/>
              <w:right w:type="dxa" w:w="120"/>
            </w:tcMar>
          </w:tcPr>
          <w:p>
            <w:r>
              <w:t xml:space="preserve">12</w:t>
            </w:r>
          </w:p>
        </w:tc>
      </w:tr>
      <w:tr>
        <w:tc>
          <w:tcPr>
            <w:tcW w:type="dxa" w:w="3120"/>
            <w:tcBorders>
              <w:top w:val="single" w:color="CCCCCC" w:sz="1"/>
              <w:left w:val="single" w:color="CCCCCC" w:sz="1"/>
              <w:bottom w:val="single" w:color="CCCCCC" w:sz="1"/>
              <w:right w:val="single" w:color="CCCCCC" w:sz="1"/>
            </w:tcBorders>
            <w:tcMar>
              <w:top w:type="dxa" w:w="120"/>
              <w:left w:type="dxa" w:w="120"/>
              <w:bottom w:type="dxa" w:w="120"/>
              <w:right w:type="dxa" w:w="120"/>
            </w:tcMar>
          </w:tcPr>
          <w:p>
            <w:r>
              <w:t xml:space="preserve">Hold</w:t>
            </w:r>
          </w:p>
        </w:tc>
        <w:tc>
          <w:tcPr>
            <w:tcW w:type="dxa" w:w="1560"/>
            <w:tcBorders>
              <w:top w:val="single" w:color="CCCCCC" w:sz="1"/>
              <w:left w:val="single" w:color="CCCCCC" w:sz="1"/>
              <w:bottom w:val="single" w:color="CCCCCC" w:sz="1"/>
              <w:right w:val="single" w:color="CCCCCC" w:sz="1"/>
            </w:tcBorders>
            <w:tcMar>
              <w:top w:type="dxa" w:w="120"/>
              <w:left w:type="dxa" w:w="120"/>
              <w:bottom w:type="dxa" w:w="120"/>
              <w:right w:type="dxa" w:w="120"/>
            </w:tcMar>
          </w:tcPr>
          <w:p>
            <w:r>
              <w:t xml:space="preserve">3</w:t>
            </w:r>
          </w:p>
        </w:tc>
      </w:tr>
      <w:tr>
        <w:tc>
          <w:tcPr>
            <w:tcW w:type="dxa" w:w="3120"/>
            <w:tcBorders>
              <w:top w:val="single" w:color="CCCCCC" w:sz="1"/>
              <w:left w:val="single" w:color="CCCCCC" w:sz="1"/>
              <w:bottom w:val="single" w:color="CCCCCC" w:sz="1"/>
              <w:right w:val="single" w:color="CCCCCC" w:sz="1"/>
            </w:tcBorders>
            <w:shd w:fill="F2F2F2" w:val="clear"/>
            <w:tcMar>
              <w:top w:type="dxa" w:w="120"/>
              <w:left w:type="dxa" w:w="120"/>
              <w:bottom w:type="dxa" w:w="120"/>
              <w:right w:type="dxa" w:w="120"/>
            </w:tcMar>
          </w:tcPr>
          <w:p>
            <w:r>
              <w:t xml:space="preserve">Underperform</w:t>
            </w:r>
          </w:p>
        </w:tc>
        <w:tc>
          <w:tcPr>
            <w:tcW w:type="dxa" w:w="1560"/>
            <w:tcBorders>
              <w:top w:val="single" w:color="CCCCCC" w:sz="1"/>
              <w:left w:val="single" w:color="CCCCCC" w:sz="1"/>
              <w:bottom w:val="single" w:color="CCCCCC" w:sz="1"/>
              <w:right w:val="single" w:color="CCCCCC" w:sz="1"/>
            </w:tcBorders>
            <w:shd w:fill="F2F2F2" w:val="clear"/>
            <w:tcMar>
              <w:top w:type="dxa" w:w="120"/>
              <w:left w:type="dxa" w:w="120"/>
              <w:bottom w:type="dxa" w:w="120"/>
              <w:right w:type="dxa" w:w="120"/>
            </w:tcMar>
          </w:tcPr>
          <w:p>
            <w:r>
              <w:t xml:space="preserve">1</w:t>
            </w:r>
          </w:p>
        </w:tc>
      </w:tr>
      <w:tr>
        <w:tc>
          <w:tcPr>
            <w:tcW w:type="dxa" w:w="3120"/>
            <w:tcBorders>
              <w:top w:val="single" w:color="CCCCCC" w:sz="1"/>
              <w:left w:val="single" w:color="CCCCCC" w:sz="1"/>
              <w:bottom w:val="single" w:color="CCCCCC" w:sz="1"/>
              <w:right w:val="single" w:color="CCCCCC" w:sz="1"/>
            </w:tcBorders>
            <w:tcMar>
              <w:top w:type="dxa" w:w="120"/>
              <w:left w:type="dxa" w:w="120"/>
              <w:bottom w:type="dxa" w:w="120"/>
              <w:right w:type="dxa" w:w="120"/>
            </w:tcMar>
          </w:tcPr>
          <w:p>
            <w:r>
              <w:t xml:space="preserve">Sell</w:t>
            </w:r>
          </w:p>
        </w:tc>
        <w:tc>
          <w:tcPr>
            <w:tcW w:type="dxa" w:w="1560"/>
            <w:tcBorders>
              <w:top w:val="single" w:color="CCCCCC" w:sz="1"/>
              <w:left w:val="single" w:color="CCCCCC" w:sz="1"/>
              <w:bottom w:val="single" w:color="CCCCCC" w:sz="1"/>
              <w:right w:val="single" w:color="CCCCCC" w:sz="1"/>
            </w:tcBorders>
            <w:tcMar>
              <w:top w:type="dxa" w:w="120"/>
              <w:left w:type="dxa" w:w="120"/>
              <w:bottom w:type="dxa" w:w="120"/>
              <w:right w:type="dxa" w:w="120"/>
            </w:tcMar>
          </w:tcPr>
          <w:p>
            <w:r>
              <w:t xml:space="preserve">0</w:t>
            </w:r>
          </w:p>
        </w:tc>
      </w:tr>
    </w:tbl>
    <w:p>
      <w:pPr>
        <w:pStyle w:val="Heading1"/>
        <w:pageBreakBefore/>
      </w:pPr>
      <w:r>
        <w:t xml:space="preserve">DISCLAIMER</w:t>
      </w:r>
    </w:p>
    <w:p>
      <w:r>
        <w:t xml:space="preserve">This investment research report is provided for informational and educational purposes only and should not be construed as financial advice, investment recommendation, or an offer to buy or sell securities. The analysis, opinions, and conclusions presented herein represent the views of the author as of the date specified and are subject to change without notice.</w:t>
      </w:r>
    </w:p>
    <w:p>
      <w:r>
        <w:t xml:space="preserve">Past performance does not guarantee future results. All investments involve risk, including the potential loss of principal. The information contained in this report is based on sources believed to be reliable; however, no representation or warranty is made regarding the accuracy, completeness, or timeliness of such information.</w:t>
      </w:r>
    </w:p>
    <w:p>
      <w:r>
        <w:t xml:space="preserve">Readers should conduct their own research and due diligence and consult with qualified financial, legal, and tax professionals before making any investment decisions. The author may or may not hold positions in the securities discussed in this report.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240"/>
      <w:outlineLvl w:val="0"/>
    </w:pPr>
    <w:rPr>
      <w:rFonts w:ascii="Arial" w:cs="Arial" w:eastAsia="Arial" w:hAnsi="Arial"/>
      <w:b/>
      <w:bCs/>
      <w:color w:val="1F4E78"/>
      <w:sz w:val="32"/>
      <w:szCs w:val="32"/>
    </w:rPr>
  </w:style>
  <w:style w:type="paragraph" w:styleId="Heading2">
    <w:name w:val="Heading 2"/>
    <w:basedOn w:val="Normal"/>
    <w:next w:val="Normal"/>
    <w:qFormat/>
    <w:pPr>
      <w:spacing w:before="360" w:after="180"/>
      <w:outlineLvl w:val="1"/>
    </w:pPr>
    <w:rPr>
      <w:rFonts w:ascii="Arial" w:cs="Arial" w:eastAsia="Arial" w:hAnsi="Arial"/>
      <w:b/>
      <w:bCs/>
      <w:color w:val="2E75B6"/>
      <w:sz w:val="28"/>
      <w:szCs w:val="28"/>
    </w:rPr>
  </w:style>
  <w:style w:type="paragraph" w:styleId="Heading3">
    <w:name w:val="Heading 3"/>
    <w:basedOn w:val="Normal"/>
    <w:next w:val="Normal"/>
    <w:qFormat/>
    <w:pPr>
      <w:spacing w:before="240" w:after="120"/>
      <w:outlineLvl w:val="2"/>
    </w:pPr>
    <w:rPr>
      <w:rFonts w:ascii="Arial" w:cs="Arial" w:eastAsia="Arial" w:hAnsi="Arial"/>
      <w:b/>
      <w:bCs/>
      <w:color w:val="44546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2026-02-09T14:50:38.516Z</dcterms:created>
  <dcterms:modified xsi:type="dcterms:W3CDTF">2026-02-09T14:50:38.517Z</dcterms:modified>
</cp:coreProperties>
</file>

<file path=docProps/custom.xml><?xml version="1.0" encoding="utf-8"?>
<Properties xmlns="http://schemas.openxmlformats.org/officeDocument/2006/custom-properties" xmlns:vt="http://schemas.openxmlformats.org/officeDocument/2006/docPropsVTypes"/>
</file>